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73CB" w:rsidRDefault="00A861BC" w:rsidP="00E17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Информационная справка </w:t>
      </w:r>
      <w:r w:rsidR="00E17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</w:p>
    <w:p w:rsidR="00E173CB" w:rsidRDefault="00A861BC" w:rsidP="00E17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</w:t>
      </w:r>
      <w:r w:rsidR="00E173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результатах деятельности бюджетного учреждения Ханты-Мансийского автономного округа – Югры «Региональный центр инвестиций»</w:t>
      </w:r>
    </w:p>
    <w:p w:rsidR="00E173CB" w:rsidRDefault="00E173CB" w:rsidP="00E173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в 201</w:t>
      </w:r>
      <w:r w:rsidR="002B1F4A" w:rsidRPr="00DB689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году</w:t>
      </w:r>
    </w:p>
    <w:p w:rsidR="00A861BC" w:rsidRDefault="00A861BC" w:rsidP="00A861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1BC" w:rsidRDefault="00226C67" w:rsidP="00A861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деятельности учреждения</w:t>
      </w:r>
    </w:p>
    <w:p w:rsidR="00226C67" w:rsidRPr="00226C67" w:rsidRDefault="00226C67" w:rsidP="00A861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861BC" w:rsidRDefault="00A861BC" w:rsidP="00A86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Бюджетное учреждение Ханты-Мансийского автономного округа – Югры «Региональный центр инвестиций» (далее по тексту – Учреждение) создано распоряжением Правительства автономного округа от 02.11.2011 </w:t>
      </w:r>
      <w:r w:rsidR="008277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№ 687-рп, путем изменения типа автономного учреждения Ханты-Мансийского автономного округа – Югры «Региональный центр инвестиций».</w:t>
      </w:r>
    </w:p>
    <w:p w:rsidR="00C03147" w:rsidRDefault="00C03147" w:rsidP="00C03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3147" w:rsidRPr="00FB2470" w:rsidRDefault="00C03147" w:rsidP="00C03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2470">
        <w:rPr>
          <w:rFonts w:ascii="Times New Roman" w:hAnsi="Times New Roman" w:cs="Times New Roman"/>
          <w:sz w:val="24"/>
          <w:szCs w:val="24"/>
        </w:rPr>
        <w:t>СВЕДЕНИЯ</w:t>
      </w:r>
    </w:p>
    <w:p w:rsidR="00C03147" w:rsidRDefault="00C03147" w:rsidP="00C03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2470">
        <w:rPr>
          <w:rFonts w:ascii="Times New Roman" w:hAnsi="Times New Roman" w:cs="Times New Roman"/>
          <w:sz w:val="24"/>
          <w:szCs w:val="24"/>
        </w:rPr>
        <w:t>о результатах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FB2470">
        <w:rPr>
          <w:rFonts w:ascii="Times New Roman" w:hAnsi="Times New Roman" w:cs="Times New Roman"/>
          <w:sz w:val="24"/>
          <w:szCs w:val="24"/>
        </w:rPr>
        <w:t xml:space="preserve"> Учреждения по исполнению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470">
        <w:rPr>
          <w:rFonts w:ascii="Times New Roman" w:hAnsi="Times New Roman" w:cs="Times New Roman"/>
          <w:sz w:val="24"/>
          <w:szCs w:val="24"/>
        </w:rPr>
        <w:t>государственного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3147" w:rsidRPr="00FB2470" w:rsidRDefault="00C03147" w:rsidP="00C031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2017 год</w:t>
      </w:r>
    </w:p>
    <w:p w:rsidR="00C03147" w:rsidRPr="00FB2470" w:rsidRDefault="00C03147" w:rsidP="00C0314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11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1338"/>
        <w:gridCol w:w="1338"/>
        <w:gridCol w:w="1338"/>
      </w:tblGrid>
      <w:tr w:rsidR="00C03147" w:rsidRPr="005B0479" w:rsidTr="005D29BE">
        <w:trPr>
          <w:trHeight w:val="16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5B0479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B0479">
              <w:rPr>
                <w:rFonts w:ascii="Times New Roman" w:hAnsi="Times New Roman" w:cs="Times New Roman"/>
                <w:szCs w:val="24"/>
              </w:rPr>
              <w:t>Государственные услуги (работы)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5B0479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B0479">
              <w:rPr>
                <w:rFonts w:ascii="Times New Roman" w:hAnsi="Times New Roman" w:cs="Times New Roman"/>
                <w:szCs w:val="24"/>
              </w:rPr>
              <w:t xml:space="preserve">Утверждено в государственном задании на 2017 год </w:t>
            </w:r>
          </w:p>
          <w:p w:rsidR="00C03147" w:rsidRPr="005B0479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B0479">
              <w:rPr>
                <w:rFonts w:ascii="Times New Roman" w:hAnsi="Times New Roman" w:cs="Times New Roman"/>
                <w:szCs w:val="24"/>
              </w:rPr>
              <w:t>(единица)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5B0479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B0479">
              <w:rPr>
                <w:rFonts w:ascii="Times New Roman" w:hAnsi="Times New Roman" w:cs="Times New Roman"/>
                <w:szCs w:val="24"/>
              </w:rPr>
              <w:t xml:space="preserve">По факту в отчетном периоде </w:t>
            </w:r>
          </w:p>
          <w:p w:rsidR="00C03147" w:rsidRPr="005B0479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5B0479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B0479">
              <w:rPr>
                <w:rFonts w:ascii="Times New Roman" w:hAnsi="Times New Roman" w:cs="Times New Roman"/>
                <w:szCs w:val="24"/>
              </w:rPr>
              <w:t>Исполнено на отчетную дату от годового объема</w:t>
            </w:r>
          </w:p>
          <w:p w:rsidR="00C03147" w:rsidRPr="005B0479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C03147" w:rsidTr="005D29BE">
        <w:trPr>
          <w:trHeight w:val="25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C03147" w:rsidRPr="00DC108C" w:rsidTr="005D29BE">
        <w:trPr>
          <w:trHeight w:val="17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C108C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8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C108C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0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C108C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C108C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03147" w:rsidTr="005D29BE">
        <w:trPr>
          <w:trHeight w:val="277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8277E0">
            <w:pPr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97DDE"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информационной и консультационной поддержки 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(услуга) в том числе:</w:t>
            </w:r>
          </w:p>
          <w:p w:rsidR="00C03147" w:rsidRDefault="00C03147" w:rsidP="008277E0">
            <w:pPr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Pr="00EC0644">
              <w:rPr>
                <w:rFonts w:ascii="Times New Roman" w:hAnsi="Times New Roman" w:cs="Times New Roman"/>
                <w:sz w:val="24"/>
                <w:szCs w:val="24"/>
              </w:rPr>
              <w:t>налитика по субъектам инвестиционной деятельности, заинтересованным в реализации инвестиционных (кластерных) проектов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C03147" w:rsidRDefault="00C03147" w:rsidP="008277E0">
            <w:pPr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C0644">
              <w:rPr>
                <w:rFonts w:ascii="Times New Roman" w:hAnsi="Times New Roman" w:cs="Times New Roman"/>
                <w:sz w:val="24"/>
                <w:szCs w:val="24"/>
              </w:rPr>
              <w:t>мониторинг (сбор) информации об инвестиционных проектах, реализуемых и (или) планируемых к реализации на территории субъекта Российской Федерации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</w:tr>
      <w:tr w:rsidR="00C03147" w:rsidTr="005D29BE">
        <w:trPr>
          <w:trHeight w:val="50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A97DDE" w:rsidRDefault="00C03147" w:rsidP="008277E0">
            <w:pPr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Ведение информационных ресурсов и баз данных (работа)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47" w:rsidRPr="00DD25CD" w:rsidTr="005D29BE">
        <w:trPr>
          <w:trHeight w:val="25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D25CD" w:rsidRDefault="00C03147" w:rsidP="008277E0">
            <w:pPr>
              <w:autoSpaceDE w:val="0"/>
              <w:autoSpaceDN w:val="0"/>
              <w:adjustRightInd w:val="0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CD">
              <w:rPr>
                <w:rFonts w:ascii="Times New Roman" w:hAnsi="Times New Roman" w:cs="Times New Roman"/>
                <w:sz w:val="24"/>
                <w:szCs w:val="24"/>
              </w:rPr>
              <w:t>3. 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 (работа)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D25CD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2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D25CD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2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D25CD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D25C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03147" w:rsidRPr="00DD25CD" w:rsidTr="005D29BE">
        <w:trPr>
          <w:trHeight w:val="25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D25CD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C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D25CD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CD">
              <w:rPr>
                <w:rFonts w:ascii="Times New Roman" w:hAnsi="Times New Roman" w:cs="Times New Roman"/>
                <w:b/>
                <w:sz w:val="24"/>
                <w:szCs w:val="24"/>
              </w:rPr>
              <w:t>429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D25CD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CD">
              <w:rPr>
                <w:rFonts w:ascii="Times New Roman" w:hAnsi="Times New Roman" w:cs="Times New Roman"/>
                <w:b/>
                <w:sz w:val="24"/>
                <w:szCs w:val="24"/>
              </w:rPr>
              <w:t>434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147" w:rsidRPr="00DD25CD" w:rsidRDefault="00C03147" w:rsidP="005D29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CD">
              <w:rPr>
                <w:rFonts w:ascii="Times New Roman" w:hAnsi="Times New Roman" w:cs="Times New Roman"/>
                <w:b/>
                <w:sz w:val="24"/>
                <w:szCs w:val="24"/>
              </w:rPr>
              <w:t>101,2</w:t>
            </w:r>
          </w:p>
        </w:tc>
      </w:tr>
    </w:tbl>
    <w:p w:rsidR="00C03147" w:rsidRPr="00DD25CD" w:rsidRDefault="00C03147" w:rsidP="00C031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3147" w:rsidRPr="00486FA4" w:rsidRDefault="00C03147" w:rsidP="00C031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86FA4">
        <w:rPr>
          <w:rFonts w:ascii="Times New Roman" w:hAnsi="Times New Roman" w:cs="Times New Roman"/>
          <w:sz w:val="28"/>
          <w:szCs w:val="24"/>
        </w:rPr>
        <w:lastRenderedPageBreak/>
        <w:t>Исполнение государственного задания по итогам 2017 года составило 101,2% от годового объема работ (услуг).</w:t>
      </w:r>
    </w:p>
    <w:p w:rsidR="00C03147" w:rsidRPr="00486FA4" w:rsidRDefault="00C03147" w:rsidP="00C031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C03147" w:rsidRPr="00A861BC" w:rsidRDefault="00C03147" w:rsidP="00A86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61BC" w:rsidRPr="00A861BC" w:rsidRDefault="00A861BC" w:rsidP="00A86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Уставу бюджетного учреждения Ханты-Мансийского автономного округа – Югры «Региональный центр инвестиций», утвержденно</w:t>
      </w:r>
      <w:r w:rsidR="008277E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распоряжением Департамента по управлению государственным имуществом Ханты-Мансийского автономного округа – Югры от 14.08.2014 № 13-р-1830, основной целью Учреждения является: «Обеспечение инвестиционной привлекательности Ханты-Мансийского автономного округа – Югры путем участия в реализации программ Ханты-Мансийского автономного округа – Югры, а также иных мероприятий, направленных на развитие экономики Ханты-Мансийского автономного округа – Югры». </w:t>
      </w:r>
    </w:p>
    <w:p w:rsidR="00A861BC" w:rsidRPr="009D7A51" w:rsidRDefault="00A861BC" w:rsidP="00A86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Учредителем Учреждения </w:t>
      </w:r>
      <w:r w:rsidR="008277E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выступает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Ханты-Мансийский автономный округ – Югра (далее – автономный округ). В соответствии с постановлением Правительства Ханты-Мансийского автономного округа – Югры от 23.10.2010 № 365-п «Об исполнительных органах государственной власти Ханты-Мансийского автономного округа - Югры, осуществляющих функции и полномочия учредителя государственных учреждений» функции и полномочия учредителя Учреждения осуществляет Департамент по управлению государственным имуществом автономного округа. В соответствии с распоряжением Правительства Ханты-Мансийского автономного округа – Югры от 01.07.2016 № 365-рп «О ведомственной принадлежности государственных учреждений Ханты-Мансийского автономного округа – Югры и признании утратившими силу некоторых распоряжений Правительства Ханты-Мансийского автономного округа – Югры» исполнительным органом государственной власти автономного округа, в ведении которого находится Учреждение (Вышестоящая организация) является Департамент экономического развития 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Ханты-Мансийского 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 округа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Югры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61BC" w:rsidRPr="00A861BC" w:rsidRDefault="00A861BC" w:rsidP="00A86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относится к некоммерческой организации, 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осуществляющей свою деятельность 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61BC" w:rsidRPr="00A861BC" w:rsidRDefault="00A861BC" w:rsidP="00A86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задание Учреждению на 201</w:t>
      </w:r>
      <w:r w:rsidR="002B1F4A" w:rsidRP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установлено приказом Департамента экономического развития Ханты-Мансийского автономного округа – Югры от </w:t>
      </w:r>
      <w:r w:rsidR="002B1F4A" w:rsidRP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196, на основании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 Учреждение выполн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работы: </w:t>
      </w:r>
    </w:p>
    <w:p w:rsidR="002B1F4A" w:rsidRDefault="00A861BC" w:rsidP="002B1F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1F4A" w:rsidRP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информационной и консультационной поддержки субъектам малого </w:t>
      </w:r>
      <w:r w:rsid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среднего предпринимательства </w:t>
      </w:r>
      <w:r w:rsidR="002B1F4A" w:rsidRP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2B1F4A" w:rsidRDefault="002B1F4A" w:rsidP="002B1F4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аналитика по субъектам инвестиционной деятельности, заинтересованным в реализации инвестиционных (кластерных) проектов;</w:t>
      </w:r>
    </w:p>
    <w:p w:rsidR="00A861BC" w:rsidRPr="002B1F4A" w:rsidRDefault="002B1F4A" w:rsidP="002B1F4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мониторинг (сбор) информации об инвестиционных проектах, реализуемых и (или) планируемых к реализации на территории субъекта Россий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Федерации»;</w:t>
      </w:r>
    </w:p>
    <w:p w:rsidR="00A861BC" w:rsidRPr="00A861BC" w:rsidRDefault="00A861BC" w:rsidP="00A86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1F4A" w:rsidRP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информационных ресурсов и баз данных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861BC" w:rsidRPr="00A861BC" w:rsidRDefault="00A861BC" w:rsidP="00A861B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B1F4A" w:rsidRP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</w:r>
      <w:r w:rsid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06CF8" w:rsidRDefault="009D7A51" w:rsidP="00F06C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2B1F4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96A40"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осуществлял</w:t>
      </w:r>
      <w:r w:rsidR="008050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</w:t>
      </w:r>
      <w:r w:rsidR="00423EE2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задания </w:t>
      </w:r>
      <w:r w:rsidR="0020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04048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r w:rsidR="003D17B9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 w:rsidR="00204048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D17B9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законодательством Российской Федерации полномочий органов государственной власти автономного округа в сфере информационно-консультационного сопровождения инвестиций в регионе, экспертно-аналитической деятельности, а также мониторинга и анализа социально</w:t>
      </w:r>
      <w:r w:rsid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 развития Югры, а именно:</w:t>
      </w:r>
    </w:p>
    <w:p w:rsidR="00F06CF8" w:rsidRDefault="00423EE2" w:rsidP="009D7A5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 об инвестиционных проектах и формах государственной поддержки инвестиционной деятельности Югры;</w:t>
      </w:r>
    </w:p>
    <w:p w:rsidR="000F76F3" w:rsidRDefault="000F76F3" w:rsidP="009D7A5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76F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возможностях размещения инвестиционного проекта (инвестиционных площадках, существующих предприятиях, готовых рассматривать предложения о сотрудничестве и т.д.), информаци</w:t>
      </w:r>
      <w:r w:rsidR="0080508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F7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социально-экономическом положении, кадровом потенциале автономного округа и муниципального образования, транспортных схемах, природных ресурсах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F76F3" w:rsidRDefault="000F76F3" w:rsidP="009D7A5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F76F3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посещения инвестором инвестиционных площадок, помощь в организации и проведении переговоров (с органами местного самоуправления, с энергетическими компаниями, потенциальными партнерами и 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6CF8" w:rsidRDefault="00153934" w:rsidP="009D7A5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технико-экономического обоснования и бизнес-планов инвестиционных проектов;</w:t>
      </w:r>
    </w:p>
    <w:p w:rsidR="00F06CF8" w:rsidRDefault="00153934" w:rsidP="009D7A5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финансового состояния, инвестиционный и финансовый </w:t>
      </w:r>
      <w:r w:rsidR="00574515"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консалтинг</w:t>
      </w: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6CF8" w:rsidRDefault="00153934" w:rsidP="009D7A5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мониторинг социально-экономической ситуации в Югре;</w:t>
      </w:r>
    </w:p>
    <w:p w:rsidR="00F06CF8" w:rsidRDefault="00153934" w:rsidP="009D7A5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экономических экспертиз</w:t>
      </w:r>
      <w:r w:rsidR="00574515"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аналитических и маркетинговых исследований;</w:t>
      </w:r>
    </w:p>
    <w:p w:rsidR="00153934" w:rsidRPr="00F06CF8" w:rsidRDefault="00153934" w:rsidP="009D7A51">
      <w:pPr>
        <w:pStyle w:val="a6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баз данных информационного мониторинга и инвестиционных проектов.</w:t>
      </w:r>
    </w:p>
    <w:p w:rsidR="000F76F3" w:rsidRDefault="000754BC" w:rsidP="00996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</w:t>
      </w:r>
      <w:r w:rsidR="000F76F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государственное задание</w:t>
      </w:r>
      <w:r w:rsidR="003D17B9"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</w:t>
      </w:r>
      <w:r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D17B9"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101</w:t>
      </w:r>
      <w:r w:rsidR="000F7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</w:t>
      </w:r>
      <w:r w:rsidR="003D17B9"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996A40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3F642E" w:rsidRPr="003F64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одготовлено и предоставлено потребителям в рамках экспертно-аналитической деятельности </w:t>
      </w:r>
      <w:r w:rsidR="000F76F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405 </w:t>
      </w:r>
      <w:r w:rsidR="003F642E" w:rsidRPr="009D7A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консультационных и методических услуг</w:t>
      </w:r>
      <w:r w:rsidR="003F64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F642E" w:rsidRPr="003F642E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материалов по сопровождению инвестиционной деятельности</w:t>
      </w:r>
      <w:r w:rsidR="009D7A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</w:p>
    <w:p w:rsidR="006F7CB0" w:rsidRDefault="006709EF" w:rsidP="000F7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Осуществлялось ведение </w:t>
      </w:r>
      <w:r w:rsidR="000F76F3">
        <w:rPr>
          <w:rFonts w:ascii="Times New Roman" w:eastAsia="Times New Roman" w:hAnsi="Times New Roman" w:cs="Times New Roman"/>
          <w:sz w:val="28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информационных ресурсов и баз данных, </w:t>
      </w:r>
      <w:r w:rsidR="006F7CB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том числе: 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sz w:val="28"/>
          <w:szCs w:val="28"/>
        </w:rPr>
        <w:t>Мониторинг инвестиций.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sz w:val="28"/>
          <w:szCs w:val="28"/>
        </w:rPr>
        <w:t>Мониторинг социально-экономических показателей территории.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sz w:val="28"/>
          <w:szCs w:val="28"/>
        </w:rPr>
        <w:lastRenderedPageBreak/>
        <w:t>Мониторинг цен на отдельные виды социально значимых продовольственных товаров первой необходимости и жизненно необходимые и важнейшие лекарственные средства, це</w:t>
      </w:r>
      <w:r w:rsidR="00994568">
        <w:rPr>
          <w:rFonts w:ascii="Times New Roman" w:hAnsi="Times New Roman" w:cs="Times New Roman"/>
          <w:sz w:val="28"/>
          <w:szCs w:val="28"/>
        </w:rPr>
        <w:t>ны на</w:t>
      </w:r>
      <w:r w:rsidRPr="006F7CB0">
        <w:rPr>
          <w:rFonts w:ascii="Times New Roman" w:hAnsi="Times New Roman" w:cs="Times New Roman"/>
          <w:sz w:val="28"/>
          <w:szCs w:val="28"/>
        </w:rPr>
        <w:t xml:space="preserve"> нефтепродукты.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sz w:val="28"/>
          <w:szCs w:val="28"/>
        </w:rPr>
        <w:t>Оценка эффективности деятельности органов местного самоуправления.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sz w:val="28"/>
          <w:szCs w:val="28"/>
        </w:rPr>
        <w:t>Мониторинг здоровья населения.</w:t>
      </w:r>
    </w:p>
    <w:p w:rsidR="006F7CB0" w:rsidRPr="00DB689C" w:rsidRDefault="006F7CB0" w:rsidP="005D29BE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DB689C">
        <w:rPr>
          <w:rFonts w:ascii="Times New Roman" w:hAnsi="Times New Roman" w:cs="Times New Roman"/>
          <w:sz w:val="28"/>
          <w:szCs w:val="28"/>
        </w:rPr>
        <w:t xml:space="preserve">Оценка эффективности деятельности </w:t>
      </w:r>
      <w:r w:rsidR="00DB689C" w:rsidRPr="00DB689C">
        <w:rPr>
          <w:rFonts w:ascii="Times New Roman" w:hAnsi="Times New Roman" w:cs="Times New Roman"/>
          <w:sz w:val="28"/>
          <w:szCs w:val="28"/>
        </w:rPr>
        <w:t>исполнительных органов государственной власти.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bCs/>
          <w:sz w:val="28"/>
          <w:szCs w:val="28"/>
        </w:rPr>
        <w:t>Анализ государственного и муниципального долга. Мониторинг индикаторов долговой нагрузки на бюджеты.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sz w:val="28"/>
          <w:szCs w:val="28"/>
        </w:rPr>
        <w:t>Формирование паспорта субъекта РФ, муниципальных образований субъекта РФ, учреждений.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sz w:val="28"/>
          <w:szCs w:val="28"/>
        </w:rPr>
        <w:t>Оценка качества и уровня жизни населения.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Оценка качества финансового менеджмента ГРБС.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Мониторинг основных предприятий территории.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Инвестиционные проекты.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Мониторинг окружающей среды.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Мониторинг ситуации на рынке труда и занятости населения, задолженности по заработной плате.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sz w:val="28"/>
          <w:szCs w:val="28"/>
        </w:rPr>
        <w:t>Мониторинг тарифов ЖКХ, мониторинг предприятий ЖКХ.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Анализ социально-экономического развития и уровня развития.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Анализ развития банковского сектора.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Оценка потерь бюджетов от недополученных доходов.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sz w:val="28"/>
          <w:szCs w:val="28"/>
        </w:rPr>
        <w:t>Контроль над соблюдением действующего за</w:t>
      </w:r>
      <w:r w:rsidR="00994568">
        <w:rPr>
          <w:rFonts w:ascii="Times New Roman" w:hAnsi="Times New Roman" w:cs="Times New Roman"/>
          <w:sz w:val="28"/>
          <w:szCs w:val="28"/>
        </w:rPr>
        <w:t>конодательства на региональном и</w:t>
      </w:r>
      <w:r w:rsidRPr="006F7CB0">
        <w:rPr>
          <w:rFonts w:ascii="Times New Roman" w:hAnsi="Times New Roman" w:cs="Times New Roman"/>
          <w:sz w:val="28"/>
          <w:szCs w:val="28"/>
        </w:rPr>
        <w:t xml:space="preserve"> муниципальном уроне (мониторинг соблюдения требований Бюджетного кодекса).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Оценка качества организации и осуществления бюджетного процесса муниципальными образованиями.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 xml:space="preserve">Мониторинг и анализ исполнения бюджета Ханты-Мансийского автономного округа </w:t>
      </w:r>
      <w:r w:rsidRPr="006F7CB0">
        <w:rPr>
          <w:rFonts w:ascii="Times New Roman" w:hAnsi="Times New Roman" w:cs="Times New Roman"/>
          <w:sz w:val="28"/>
          <w:szCs w:val="28"/>
        </w:rPr>
        <w:t>–</w:t>
      </w:r>
      <w:r w:rsidRPr="006F7CB0">
        <w:rPr>
          <w:rFonts w:ascii="Times New Roman" w:hAnsi="Times New Roman" w:cs="Times New Roman"/>
          <w:bCs/>
          <w:sz w:val="28"/>
          <w:szCs w:val="28"/>
        </w:rPr>
        <w:t xml:space="preserve"> Югры.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 xml:space="preserve">Мониторинг и анализ исполнения консолидированного бюджета Ханты-Мансийского автономного округа </w:t>
      </w:r>
      <w:r w:rsidRPr="006F7CB0">
        <w:rPr>
          <w:rFonts w:ascii="Times New Roman" w:hAnsi="Times New Roman" w:cs="Times New Roman"/>
          <w:sz w:val="28"/>
          <w:szCs w:val="28"/>
        </w:rPr>
        <w:t>–</w:t>
      </w:r>
      <w:r w:rsidRPr="006F7CB0">
        <w:rPr>
          <w:rFonts w:ascii="Times New Roman" w:hAnsi="Times New Roman" w:cs="Times New Roman"/>
          <w:bCs/>
          <w:sz w:val="28"/>
          <w:szCs w:val="28"/>
        </w:rPr>
        <w:t xml:space="preserve"> Югры, бюджетов муниципальных образований Ханты-Мансийского автономного округа </w:t>
      </w:r>
      <w:r w:rsidRPr="006F7CB0">
        <w:rPr>
          <w:rFonts w:ascii="Times New Roman" w:hAnsi="Times New Roman" w:cs="Times New Roman"/>
          <w:sz w:val="28"/>
          <w:szCs w:val="28"/>
        </w:rPr>
        <w:t>–</w:t>
      </w:r>
      <w:r w:rsidRPr="006F7CB0">
        <w:rPr>
          <w:rFonts w:ascii="Times New Roman" w:hAnsi="Times New Roman" w:cs="Times New Roman"/>
          <w:bCs/>
          <w:sz w:val="28"/>
          <w:szCs w:val="28"/>
        </w:rPr>
        <w:t xml:space="preserve"> Югры.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Анализ налоговых поступлений и платежей в бюджет, в том числе анализ недоимки.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Мониторинг осуществления первоочередных расходов бюджетных средств. Анализ финансовой гибкости бюджетов и анализ мер, предпринимаемых в направлении оптимизации расходов.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bCs/>
          <w:sz w:val="28"/>
          <w:szCs w:val="28"/>
        </w:rPr>
        <w:t>Мониторинг спроса на продукцию</w:t>
      </w:r>
      <w:r w:rsidRPr="006F7CB0">
        <w:rPr>
          <w:rFonts w:ascii="Times New Roman" w:hAnsi="Times New Roman" w:cs="Times New Roman"/>
          <w:sz w:val="28"/>
          <w:szCs w:val="28"/>
        </w:rPr>
        <w:t>, производимую в автономном округе.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sz w:val="28"/>
          <w:szCs w:val="28"/>
        </w:rPr>
        <w:t>Мониторинг задолженности предприятий по налогам и сборам перед бюджетами всех уровней и во внебюджетные фонды.</w:t>
      </w:r>
    </w:p>
    <w:p w:rsidR="006F7CB0" w:rsidRPr="006F7CB0" w:rsidRDefault="006F7CB0" w:rsidP="006F7CB0">
      <w:pPr>
        <w:pStyle w:val="a6"/>
        <w:numPr>
          <w:ilvl w:val="0"/>
          <w:numId w:val="5"/>
        </w:numPr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CB0">
        <w:rPr>
          <w:rFonts w:ascii="Times New Roman" w:hAnsi="Times New Roman" w:cs="Times New Roman"/>
          <w:sz w:val="28"/>
          <w:szCs w:val="28"/>
        </w:rPr>
        <w:t>Учреждения социальной инфраструктуры Ханты-Мансийского автономного округа – Югры</w:t>
      </w:r>
      <w:r w:rsidRPr="006F7CB0">
        <w:rPr>
          <w:rFonts w:ascii="Times New Roman" w:hAnsi="Times New Roman" w:cs="Times New Roman"/>
          <w:bCs/>
          <w:sz w:val="28"/>
          <w:szCs w:val="28"/>
        </w:rPr>
        <w:t>.</w:t>
      </w:r>
    </w:p>
    <w:p w:rsidR="006F3758" w:rsidRDefault="006F3758" w:rsidP="006F7C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B10" w:rsidRDefault="00ED4B10" w:rsidP="00ED4B10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 2014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Ханты-Мансийского автономного округа – Югры от 27 декабря 2013 г. №590-п «О регламенте по сопровождению инвестиционных проектов в Ханты-Мансийском автономном округе – Югре» БУ «Региональный центр инвестиций» 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 специализированной организации автономного округа по привлечению инвестиций и работе с инвесторами по информационно-консультационному сопровождению инвест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иционных 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</w:t>
      </w:r>
      <w:r w:rsidRP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принципу «одного окна»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F3758" w:rsidRDefault="006F3758" w:rsidP="006F37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функции по сопровождению инвестиционных проектов за 2017 год удалось достигнуть следующих показателей:</w:t>
      </w:r>
    </w:p>
    <w:p w:rsidR="006F3758" w:rsidRDefault="006F3758" w:rsidP="006F3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сопровождаемых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инвестиционных проектов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 24 проекта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инвестиционной емкостью около 35,3 млрд. рублей;</w:t>
      </w:r>
    </w:p>
    <w:p w:rsidR="006F3758" w:rsidRDefault="006F3758" w:rsidP="006F3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0 из них включены в «Реестр приоритетны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инвестиционных проектов Югры»;</w:t>
      </w:r>
    </w:p>
    <w:p w:rsidR="006F3758" w:rsidRDefault="006F3758" w:rsidP="006F3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ланируемый объем налоговых отчислений при реализации этих проек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составит свыше 21 млрд. руб.;</w:t>
      </w:r>
    </w:p>
    <w:p w:rsidR="006F3758" w:rsidRDefault="006F3758" w:rsidP="006F37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спешная реализация указанных проектов обеспечит рабочими местами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3067 ю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горчан. </w:t>
      </w:r>
    </w:p>
    <w:p w:rsidR="006F3758" w:rsidRDefault="006F3758" w:rsidP="006F37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2016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AB5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поддержке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Pr="00AB5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инвестиционных проектов 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емкостью </w:t>
      </w:r>
      <w:r w:rsidRPr="00F90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6,8 млрд.руб.,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создано в результате их реализации </w:t>
      </w:r>
      <w:r w:rsidRPr="00F90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751 рабочее</w:t>
      </w:r>
      <w:r w:rsidR="00ED4B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место </w:t>
      </w:r>
      <w:r w:rsidR="00ED4B10" w:rsidRPr="00ED4B1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ерах</w:t>
      </w:r>
      <w:r w:rsidR="00ED4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агропромышленного комплекса,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досуга и </w:t>
      </w:r>
      <w:r w:rsidR="00ED4B1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торговли.</w:t>
      </w:r>
    </w:p>
    <w:p w:rsidR="006F3758" w:rsidRPr="00D41D9C" w:rsidRDefault="00486FA4" w:rsidP="00ED4B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0EA1"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758" w:rsidRPr="001F0EA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оказана информационно-консультационная поддержка при строительстве объектов образования н</w:t>
      </w:r>
      <w:r w:rsidR="00ED4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территории автономного округа. </w:t>
      </w:r>
      <w:r w:rsidR="006F3758">
        <w:rPr>
          <w:rFonts w:ascii="Times New Roman" w:hAnsi="Times New Roman" w:cs="Times New Roman"/>
          <w:bCs/>
          <w:sz w:val="28"/>
          <w:szCs w:val="28"/>
        </w:rPr>
        <w:t>В 2017 году введены в эксплуатацию</w:t>
      </w:r>
      <w:r w:rsidR="006F3758" w:rsidRPr="00D41D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3758">
        <w:rPr>
          <w:rFonts w:ascii="Times New Roman" w:hAnsi="Times New Roman" w:cs="Times New Roman"/>
          <w:bCs/>
          <w:sz w:val="28"/>
          <w:szCs w:val="28"/>
        </w:rPr>
        <w:t>4</w:t>
      </w:r>
      <w:r w:rsidR="006F3758" w:rsidRPr="00D41D9C">
        <w:rPr>
          <w:rFonts w:ascii="Times New Roman" w:hAnsi="Times New Roman" w:cs="Times New Roman"/>
          <w:bCs/>
          <w:sz w:val="28"/>
          <w:szCs w:val="28"/>
        </w:rPr>
        <w:t xml:space="preserve"> дошкольных образовательных учреждени</w:t>
      </w:r>
      <w:r w:rsidR="006F3758">
        <w:rPr>
          <w:rFonts w:ascii="Times New Roman" w:hAnsi="Times New Roman" w:cs="Times New Roman"/>
          <w:bCs/>
          <w:sz w:val="28"/>
          <w:szCs w:val="28"/>
        </w:rPr>
        <w:t>я</w:t>
      </w:r>
      <w:r w:rsidR="006F3758" w:rsidRPr="00D41D9C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6F3758">
        <w:rPr>
          <w:rFonts w:ascii="Times New Roman" w:hAnsi="Times New Roman" w:cs="Times New Roman"/>
          <w:bCs/>
          <w:sz w:val="28"/>
          <w:szCs w:val="28"/>
        </w:rPr>
        <w:t>468</w:t>
      </w:r>
      <w:r w:rsidR="006F3758" w:rsidRPr="00D41D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F3758">
        <w:rPr>
          <w:rFonts w:ascii="Times New Roman" w:hAnsi="Times New Roman" w:cs="Times New Roman"/>
          <w:bCs/>
          <w:sz w:val="28"/>
          <w:szCs w:val="28"/>
        </w:rPr>
        <w:t xml:space="preserve">мест </w:t>
      </w:r>
      <w:r w:rsidR="00B87AB1">
        <w:rPr>
          <w:rFonts w:ascii="Times New Roman" w:hAnsi="Times New Roman" w:cs="Times New Roman"/>
          <w:bCs/>
          <w:sz w:val="28"/>
          <w:szCs w:val="28"/>
        </w:rPr>
        <w:t xml:space="preserve">общей инвестиционной емкостью 730,9 млн.руб. </w:t>
      </w:r>
      <w:r w:rsidR="006F3758">
        <w:rPr>
          <w:rFonts w:ascii="Times New Roman" w:hAnsi="Times New Roman" w:cs="Times New Roman"/>
          <w:bCs/>
          <w:sz w:val="28"/>
          <w:szCs w:val="28"/>
        </w:rPr>
        <w:t>в муниципальных образованиях Ханты-Мансийск</w:t>
      </w:r>
      <w:r w:rsidR="00994568">
        <w:rPr>
          <w:rFonts w:ascii="Times New Roman" w:hAnsi="Times New Roman" w:cs="Times New Roman"/>
          <w:bCs/>
          <w:sz w:val="28"/>
          <w:szCs w:val="28"/>
        </w:rPr>
        <w:t>, Сургут</w:t>
      </w:r>
      <w:r w:rsidR="006F3758">
        <w:rPr>
          <w:rFonts w:ascii="Times New Roman" w:hAnsi="Times New Roman" w:cs="Times New Roman"/>
          <w:bCs/>
          <w:sz w:val="28"/>
          <w:szCs w:val="28"/>
        </w:rPr>
        <w:t xml:space="preserve"> и Сургутско</w:t>
      </w:r>
      <w:r w:rsidR="00994568">
        <w:rPr>
          <w:rFonts w:ascii="Times New Roman" w:hAnsi="Times New Roman" w:cs="Times New Roman"/>
          <w:bCs/>
          <w:sz w:val="28"/>
          <w:szCs w:val="28"/>
        </w:rPr>
        <w:t>м</w:t>
      </w:r>
      <w:r w:rsidR="006F3758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994568">
        <w:rPr>
          <w:rFonts w:ascii="Times New Roman" w:hAnsi="Times New Roman" w:cs="Times New Roman"/>
          <w:bCs/>
          <w:sz w:val="28"/>
          <w:szCs w:val="28"/>
        </w:rPr>
        <w:t>е</w:t>
      </w:r>
      <w:r w:rsidR="00B87AB1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6F3758" w:rsidRDefault="006F3758" w:rsidP="006F7C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6FA4" w:rsidRDefault="00486FA4" w:rsidP="00486F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Учреждением о</w:t>
      </w:r>
      <w:r w:rsidRPr="00ED4B10">
        <w:rPr>
          <w:rFonts w:ascii="Times New Roman" w:hAnsi="Times New Roman"/>
          <w:sz w:val="28"/>
          <w:szCs w:val="28"/>
        </w:rPr>
        <w:t xml:space="preserve">существляется информационно-аналитическое сопровождение исполнительных органов государственной власти автономного округа по основным вопросам социально-экономического развития Югры. </w:t>
      </w:r>
    </w:p>
    <w:p w:rsidR="00486FA4" w:rsidRDefault="00BB3642" w:rsidP="006F7CB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Указов</w:t>
      </w:r>
      <w:r w:rsidRPr="00ED4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Федерации от 7 мая 2012 года, Указа Президента Российской Федерации от 6 августа 2014 года №560, перечня</w:t>
      </w:r>
      <w:r w:rsidRPr="00ED4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поручений Президента Российской Федерации </w:t>
      </w:r>
      <w:r w:rsid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</w:t>
      </w:r>
      <w:r w:rsidR="00052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</w:t>
      </w:r>
      <w:r w:rsidR="00052C5D" w:rsidRPr="00ED4B10">
        <w:rPr>
          <w:rFonts w:ascii="Times New Roman" w:hAnsi="Times New Roman"/>
          <w:sz w:val="28"/>
          <w:szCs w:val="28"/>
        </w:rPr>
        <w:t>оперативный сбор, мониторинг и комплексный анализ показателей социально-экономического развития автономного округа и муниципальных образований с использованием информационно-аналитических инструментов</w:t>
      </w:r>
      <w:r w:rsidR="00486FA4">
        <w:rPr>
          <w:rFonts w:ascii="Times New Roman" w:hAnsi="Times New Roman"/>
          <w:sz w:val="28"/>
          <w:szCs w:val="28"/>
        </w:rPr>
        <w:t xml:space="preserve">. </w:t>
      </w:r>
    </w:p>
    <w:p w:rsidR="00ED4B10" w:rsidRPr="000400EB" w:rsidRDefault="00ED4B10" w:rsidP="00EA4E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128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степени достижения целевых показателей государственных программ Ханты-Мансий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автономного округа – Югры</w:t>
      </w:r>
      <w:r w:rsidRPr="00331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91 целевой показатель социально-экономического развития</w:t>
      </w:r>
      <w:r w:rsidRPr="00EA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базе 25</w:t>
      </w:r>
      <w:r w:rsidR="00331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программ и 11 У</w:t>
      </w:r>
      <w:r w:rsidRPr="00EA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казов Президента Российской Федерации. Подготовлены аналитические материалы </w:t>
      </w:r>
      <w:r w:rsidR="00BB3642" w:rsidRPr="00EA4E3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86FA4">
        <w:rPr>
          <w:rFonts w:ascii="Times New Roman" w:eastAsia="Times New Roman" w:hAnsi="Times New Roman" w:cs="Times New Roman"/>
          <w:sz w:val="28"/>
          <w:szCs w:val="28"/>
          <w:lang w:eastAsia="ru-RU"/>
        </w:rPr>
        <w:t>б оценке</w:t>
      </w:r>
      <w:r w:rsidRPr="00EA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</w:t>
      </w:r>
      <w:r w:rsidR="00486FA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A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фактических значений целевы</w:t>
      </w:r>
      <w:r w:rsidR="00486FA4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BB3642" w:rsidRPr="00EA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 w:rsidR="00486FA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EA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автономного округа, определённых указами Президента Российской Федерации, а также п</w:t>
      </w:r>
      <w:r w:rsidR="00486FA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 анализ</w:t>
      </w:r>
      <w:r w:rsidRPr="00EA4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влияния целевых показателей, </w:t>
      </w:r>
      <w:r w:rsidRPr="000400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зоне риска по достижению, на связанные с ним</w:t>
      </w:r>
      <w:r w:rsidR="00486F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0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показатели. </w:t>
      </w:r>
    </w:p>
    <w:p w:rsidR="00811776" w:rsidRPr="00BB3642" w:rsidRDefault="000400EB" w:rsidP="00BB364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B3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обеспечения устойчивого развития экономики и социальной стабильности,</w:t>
      </w:r>
      <w:r w:rsidRPr="00BB364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B36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принятия своевременных мер по оказанию поддержки рынка труда, финансового рынка, реального сектора экономики, недопущения нарушения прав граждан, предупреждения и ликвидации кризисных явлений в экономике автономного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</w:t>
      </w:r>
      <w:r w:rsidR="00811776" w:rsidRPr="00BB3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</w:t>
      </w:r>
      <w:r w:rsidR="00BB3642" w:rsidRPr="00BB364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финансово-экономического состояния</w:t>
      </w:r>
      <w:r w:rsidR="00BB3642" w:rsidRPr="00BB36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3642" w:rsidRPr="00BB364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системообразующих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</w:t>
      </w:r>
      <w:r w:rsidR="00BB3642" w:rsidRPr="00BB3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776" w:rsidRPr="00BB3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отслеживать динамику в разрезе 21 показателя, полноценно характеризуя финансово-экономическое состояние 59 предприятий автономного округа различных отраслей экономики. </w:t>
      </w:r>
    </w:p>
    <w:p w:rsidR="007431E8" w:rsidRPr="007431E8" w:rsidRDefault="007431E8" w:rsidP="00743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исполнение п.9.1 Перечня поручений Губернатора  Ханты-Мансийского автономного округа – Югры от 04 декабря 2017 года по реализации ежегодного обращения Губернатора Ханты-Мансийского автономного округа – Югры к жителям Ханты-Мансийского автономного округа – Югры, представителям общественности и депутатам Думы Ханты-Мансийского автономного округа – Югры от 23 ноября 2017 года,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чреждением разработана система мониторинга состояния эконо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мико-демографических перспектив </w:t>
      </w: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населенных пунктов Ханты-Мансийского автономного округа – Югры:</w:t>
      </w:r>
    </w:p>
    <w:p w:rsidR="007431E8" w:rsidRPr="007431E8" w:rsidRDefault="007431E8" w:rsidP="007431E8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Определен перечень укрупненных экономико-демографических показателей населенных пунктов по 6 направлениям:                 </w:t>
      </w:r>
    </w:p>
    <w:p w:rsidR="007431E8" w:rsidRPr="007431E8" w:rsidRDefault="007431E8" w:rsidP="007431E8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демографическая ситуация;</w:t>
      </w:r>
    </w:p>
    <w:p w:rsidR="007431E8" w:rsidRPr="007431E8" w:rsidRDefault="007431E8" w:rsidP="007431E8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 сфер образования, культуры и здравоохранения;</w:t>
      </w:r>
    </w:p>
    <w:p w:rsidR="007431E8" w:rsidRPr="007431E8" w:rsidRDefault="007431E8" w:rsidP="007431E8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и качество жизни населения, занятость;</w:t>
      </w:r>
    </w:p>
    <w:p w:rsidR="007431E8" w:rsidRPr="007431E8" w:rsidRDefault="007431E8" w:rsidP="007431E8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развитие;</w:t>
      </w:r>
    </w:p>
    <w:p w:rsidR="007431E8" w:rsidRPr="007431E8" w:rsidRDefault="007431E8" w:rsidP="007431E8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географическая и инфраструктурная характеристика;</w:t>
      </w:r>
    </w:p>
    <w:p w:rsidR="007431E8" w:rsidRPr="007431E8" w:rsidRDefault="007431E8" w:rsidP="007431E8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и расходы бюджета МО.</w:t>
      </w:r>
    </w:p>
    <w:p w:rsidR="007431E8" w:rsidRPr="007431E8" w:rsidRDefault="007431E8" w:rsidP="00743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 мониторинг по вышеуказанным показателям в разрезе удаленных и труднодоступных населенных пунктов Ханты-Мансийского автономного округа – Югры. </w:t>
      </w:r>
    </w:p>
    <w:p w:rsidR="007431E8" w:rsidRPr="007431E8" w:rsidRDefault="007431E8" w:rsidP="00743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 основе результатов мониторинга состояния экономико-демографических перспектив удаленных и труднодоступных  населенных пунктов автономного округа по итогам 2017 года Учреждением по собственной методике проведена оценка уровня развития труднодоступных и отдаленных населенных пунктов Ханты-Мансийского автономного округа – Югры и рассчитан интегральный показатель развития каждого труднодоступного населенного пункта.</w:t>
      </w:r>
    </w:p>
    <w:p w:rsidR="007431E8" w:rsidRPr="007431E8" w:rsidRDefault="007431E8" w:rsidP="007431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4. С учётом значений интегрального показател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развития оценены перспективы удаленных и труднодоступных населенных пунктов автономного округа и проведена их группировка по критериям развития агломерационных процессов.</w:t>
      </w:r>
    </w:p>
    <w:p w:rsidR="007431E8" w:rsidRDefault="007431E8" w:rsidP="007431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 проводится м</w:t>
      </w:r>
      <w:r w:rsidRPr="00E6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ониторинг </w:t>
      </w:r>
      <w:r w:rsidRPr="008117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более чем 4 500 показателям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17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таким направлениям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17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как: итоги социально-экономического развития автономного округа,</w:t>
      </w:r>
      <w:r w:rsidRPr="00E6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6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продукты питания, социально-значимые продовольственные товары, нефтепродукты и газ, реализуемые через АЗС, авиационное топливо,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родукцию сельхозпроизводителей </w:t>
      </w:r>
      <w:r w:rsidRPr="00E616BE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31E8" w:rsidRPr="00E616BE" w:rsidRDefault="007431E8" w:rsidP="007431E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6BE">
        <w:rPr>
          <w:rFonts w:ascii="Times New Roman" w:hAnsi="Times New Roman"/>
          <w:sz w:val="28"/>
          <w:szCs w:val="28"/>
        </w:rPr>
        <w:t>Информационно-аналитические материалы используются при принятии управленческих решений по основным вопросам обеспечения устойчивого развития экономики автономного округа и социальной стабильности, а также для оперативного реагирования на изменения конъюнктуры</w:t>
      </w:r>
      <w:r w:rsidRPr="00E6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продовольственных рынков.</w:t>
      </w:r>
    </w:p>
    <w:p w:rsidR="00623F7F" w:rsidRDefault="007431E8" w:rsidP="00623F7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регулярной основе подготавливаются информационно-аналитические и экспертные материалы по вопросам социаль</w:t>
      </w:r>
      <w:r w:rsidR="00262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но-экономического развития Югры, </w:t>
      </w:r>
      <w:r w:rsidRPr="007431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обзоры тенденций в к</w:t>
      </w:r>
      <w:r w:rsidR="00486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лючевых сферах развития региона. </w:t>
      </w:r>
      <w:r w:rsidR="00623F7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Оперативное информационно-аналитическое обеспечение деятельности ис</w:t>
      </w:r>
      <w:r w:rsidR="00623F7F" w:rsidRPr="00ED4B10">
        <w:rPr>
          <w:rFonts w:ascii="Times New Roman" w:hAnsi="Times New Roman"/>
          <w:sz w:val="28"/>
          <w:szCs w:val="28"/>
        </w:rPr>
        <w:t>полнительных органов государственной власти автономного округа</w:t>
      </w:r>
      <w:r w:rsidR="00623F7F">
        <w:rPr>
          <w:rFonts w:ascii="Times New Roman" w:hAnsi="Times New Roman"/>
          <w:sz w:val="28"/>
          <w:szCs w:val="28"/>
        </w:rPr>
        <w:t xml:space="preserve"> направлено на обеспечение реализации единой государственной политики в сфере планирования, повышение уровня конкурентоспособности экономики Югры.</w:t>
      </w:r>
    </w:p>
    <w:p w:rsidR="00C135EB" w:rsidRDefault="000E3917" w:rsidP="00623F7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Учреждение приняло у</w:t>
      </w:r>
      <w:r w:rsidR="00C135EB" w:rsidRPr="000E3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частие в разработке Стратегии социально-экономического развития Ханты-Мансийского автономного округа – Югры до 2020 года и на период до 2030 года. </w:t>
      </w:r>
      <w:r w:rsidR="00C135EB" w:rsidRPr="000E39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стратегического анализа социально-экономического развития автономного округа, включая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</w:t>
      </w:r>
      <w:r w:rsidR="00C135EB" w:rsidRPr="000E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135EB" w:rsidRPr="000E391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акторов развития, конкурентных позиций, уровня и потенциала развития, подготовлены предложения по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пределению приоритетов и целей </w:t>
      </w:r>
      <w:r w:rsidR="00C135EB" w:rsidRPr="000E39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долгосрочног</w:t>
      </w:r>
      <w:r w:rsidR="008C52AB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развития</w:t>
      </w:r>
      <w:r w:rsidR="00C135EB" w:rsidRPr="000E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Югры, формированию приоритетных направлений и задач социально-экономической политики автономного округа, формированию системы стратегического управления, инструмент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135EB" w:rsidRPr="000E3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135EB" w:rsidRPr="008C52A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135EB" w:rsidRPr="008C52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стратегии и государственных программ. Учреждение приняло участие в публичных обсуждениях Стратегии – 2030 с привлечением экспертов и представителей общественности.</w:t>
      </w:r>
    </w:p>
    <w:p w:rsidR="00262215" w:rsidRDefault="00262215" w:rsidP="00262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1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определён 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оператором и на постоянной основе проводит Рейтинг муниципальных образований Ханты-Мансийского автономного округа – Югры по обеспечению условий благоприятного инвестиционного климата и содействию конкуренции. </w:t>
      </w:r>
    </w:p>
    <w:p w:rsidR="00262215" w:rsidRDefault="00262215" w:rsidP="00262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при Правительстве Ханты-Мансийского автономного округа – Югры по вопросам развития инвестиционной деятельности в Ханты-Манси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йском автономном округе – Югре 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>9 августа 2016 года принято решение о проведении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ежегодного </w:t>
      </w:r>
      <w:r w:rsidR="009945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рейтинга муниципальных об</w:t>
      </w:r>
      <w:r w:rsidR="00C262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разований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округа по обеспечению благоприятного инвестиционного климата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содействию развитию конкуренции.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2215" w:rsidRPr="006F7CB0" w:rsidRDefault="00262215" w:rsidP="00262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</w:t>
      </w:r>
      <w:r w:rsidR="00623F7F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Рейтинг муниципальных образований за 2016 год. </w:t>
      </w:r>
      <w:r w:rsidRPr="006F7CB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формирования Рейтинга утверждена на заседании Рейтингового комитета 15 марта 2017 г. Протоколом № 2, в соответствии с которой разработана методика расчета результатов Рейтинга.</w:t>
      </w:r>
    </w:p>
    <w:p w:rsidR="00262215" w:rsidRDefault="00262215" w:rsidP="002622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7CB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Рейтинга является оценка эффективности мер, принимаемых органами местного самоуправления муниципальных образов</w:t>
      </w:r>
      <w:r w:rsidR="00C2624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аний автономного округа</w:t>
      </w:r>
      <w:r w:rsidRPr="006F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улучшению состояния ин</w:t>
      </w:r>
      <w:r w:rsidR="00C2624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вестиционного климата и развитию</w:t>
      </w:r>
      <w:r w:rsidRPr="006F7C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конкуренции.</w:t>
      </w:r>
    </w:p>
    <w:p w:rsidR="00F07769" w:rsidRPr="00F07769" w:rsidRDefault="00F07769" w:rsidP="00F0776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F07769">
        <w:rPr>
          <w:rFonts w:ascii="Times New Roman" w:hAnsi="Times New Roman" w:cs="Times New Roman"/>
          <w:spacing w:val="2"/>
          <w:sz w:val="28"/>
          <w:szCs w:val="28"/>
        </w:rPr>
        <w:t>В целях формирования благоприятного инвестиционного климата и развития конкурентной среды органами местного самоуправления автономного округа реализуется целый ряд систематизированных и скоординированных мер, направленных на развитие инвестиционной и предпринимательской деятельности. Реализация комплекса мероприятий позволила улучшить инвестиционный климат в муниципальных образованиях. Неотъемлемым элементом данной системы является главный оценочный инструмент – Рейтинг муниципальных образований автономного округа по обеспечению условий благоприятного климата и содействию развитию конкуренции, посредством которого оценивается эффективность мер, принимаемых органами местного самоуправления муниципальных</w:t>
      </w:r>
      <w:r w:rsidR="00CB1E31">
        <w:rPr>
          <w:rFonts w:ascii="Times New Roman" w:hAnsi="Times New Roman" w:cs="Times New Roman"/>
          <w:spacing w:val="2"/>
          <w:sz w:val="28"/>
          <w:szCs w:val="28"/>
        </w:rPr>
        <w:t xml:space="preserve"> образований автономного округа</w:t>
      </w:r>
      <w:r w:rsidRPr="00F07769">
        <w:rPr>
          <w:rFonts w:ascii="Times New Roman" w:hAnsi="Times New Roman" w:cs="Times New Roman"/>
          <w:spacing w:val="2"/>
          <w:sz w:val="28"/>
          <w:szCs w:val="28"/>
        </w:rPr>
        <w:t xml:space="preserve"> по улучшению состояния инвестиционного климата и развития конкуренции.</w:t>
      </w:r>
    </w:p>
    <w:p w:rsidR="00262215" w:rsidRPr="00F6317F" w:rsidRDefault="00262215" w:rsidP="00262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 группу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вошли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благоприятными условиями развития предпринимательской и инвестиционной деятельности, высок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 уровнем развития конкуренции.</w:t>
      </w:r>
    </w:p>
    <w:p w:rsidR="00262215" w:rsidRPr="00F6317F" w:rsidRDefault="00262215" w:rsidP="002622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2"/>
        <w:gridCol w:w="2693"/>
        <w:gridCol w:w="1292"/>
        <w:gridCol w:w="1082"/>
      </w:tblGrid>
      <w:tr w:rsidR="00C074AF" w:rsidRPr="00F6317F" w:rsidTr="00994568">
        <w:trPr>
          <w:trHeight w:val="1065"/>
        </w:trPr>
        <w:tc>
          <w:tcPr>
            <w:tcW w:w="4152" w:type="dxa"/>
            <w:shd w:val="clear" w:color="auto" w:fill="auto"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 комплексной эффективности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в рейтинге 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</w:t>
            </w:r>
          </w:p>
        </w:tc>
      </w:tr>
      <w:tr w:rsidR="00C074AF" w:rsidRPr="00F6317F" w:rsidTr="00994568">
        <w:trPr>
          <w:trHeight w:val="315"/>
        </w:trPr>
        <w:tc>
          <w:tcPr>
            <w:tcW w:w="4152" w:type="dxa"/>
            <w:shd w:val="clear" w:color="auto" w:fill="auto"/>
            <w:vAlign w:val="bottom"/>
            <w:hideMark/>
          </w:tcPr>
          <w:p w:rsidR="00C074AF" w:rsidRPr="00F6317F" w:rsidRDefault="00C074AF" w:rsidP="009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Сургутский</w:t>
            </w: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71,5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</w:tr>
      <w:tr w:rsidR="00C074AF" w:rsidRPr="00F6317F" w:rsidTr="00994568">
        <w:trPr>
          <w:trHeight w:val="315"/>
        </w:trPr>
        <w:tc>
          <w:tcPr>
            <w:tcW w:w="4152" w:type="dxa"/>
            <w:shd w:val="clear" w:color="auto" w:fill="auto"/>
            <w:vAlign w:val="bottom"/>
            <w:hideMark/>
          </w:tcPr>
          <w:p w:rsidR="00C074AF" w:rsidRPr="00F6317F" w:rsidRDefault="00C074AF" w:rsidP="009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Ханты-Мансийский</w:t>
            </w: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67,6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</w:tr>
      <w:tr w:rsidR="00C074AF" w:rsidRPr="00F6317F" w:rsidTr="00994568">
        <w:trPr>
          <w:trHeight w:val="300"/>
        </w:trPr>
        <w:tc>
          <w:tcPr>
            <w:tcW w:w="4152" w:type="dxa"/>
            <w:shd w:val="clear" w:color="auto" w:fill="auto"/>
            <w:vAlign w:val="bottom"/>
            <w:hideMark/>
          </w:tcPr>
          <w:p w:rsidR="00C074AF" w:rsidRPr="00F6317F" w:rsidRDefault="00C074AF" w:rsidP="009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Ханты-Мансийск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</w:tr>
      <w:tr w:rsidR="00C074AF" w:rsidRPr="00F6317F" w:rsidTr="00994568">
        <w:trPr>
          <w:trHeight w:val="300"/>
        </w:trPr>
        <w:tc>
          <w:tcPr>
            <w:tcW w:w="4152" w:type="dxa"/>
            <w:shd w:val="clear" w:color="auto" w:fill="auto"/>
            <w:vAlign w:val="bottom"/>
            <w:hideMark/>
          </w:tcPr>
          <w:p w:rsidR="00C074AF" w:rsidRPr="00F6317F" w:rsidRDefault="00C074AF" w:rsidP="009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Нижневартовск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66,4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</w:tr>
      <w:tr w:rsidR="00C074AF" w:rsidRPr="00F6317F" w:rsidTr="00994568">
        <w:trPr>
          <w:trHeight w:val="300"/>
        </w:trPr>
        <w:tc>
          <w:tcPr>
            <w:tcW w:w="4152" w:type="dxa"/>
            <w:shd w:val="clear" w:color="auto" w:fill="auto"/>
            <w:vAlign w:val="bottom"/>
            <w:hideMark/>
          </w:tcPr>
          <w:p w:rsidR="00C074AF" w:rsidRPr="00F6317F" w:rsidRDefault="00C074AF" w:rsidP="009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Лангепас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64,6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  <w:tr w:rsidR="00C074AF" w:rsidRPr="00F6317F" w:rsidTr="00994568">
        <w:trPr>
          <w:trHeight w:val="300"/>
        </w:trPr>
        <w:tc>
          <w:tcPr>
            <w:tcW w:w="4152" w:type="dxa"/>
            <w:shd w:val="clear" w:color="auto" w:fill="auto"/>
            <w:vAlign w:val="bottom"/>
            <w:hideMark/>
          </w:tcPr>
          <w:p w:rsidR="00C074AF" w:rsidRDefault="00C074AF" w:rsidP="0099456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63,9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C074AF" w:rsidRPr="00F6317F" w:rsidRDefault="00C074AF" w:rsidP="009945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</w:tbl>
    <w:p w:rsidR="00C074AF" w:rsidRDefault="00C074AF" w:rsidP="00C07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405B" w:rsidRDefault="00B41CED" w:rsidP="00C07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CED">
        <w:rPr>
          <w:rFonts w:ascii="Times New Roman" w:eastAsia="Times New Roman" w:hAnsi="Times New Roman" w:cs="Times New Roman"/>
          <w:sz w:val="28"/>
          <w:szCs w:val="28"/>
          <w:lang w:eastAsia="ru-RU"/>
        </w:rPr>
        <w:t>В 13 муниципальных образований наблюдается рост значения показателя комплексной оценки эффективности, в среднем по автономному округу увеличение знач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показателя составило 11%</w:t>
      </w:r>
      <w:r w:rsidRPr="00B4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C074AF" w:rsidRDefault="0013405B" w:rsidP="00C074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Рейтинга 2016 года имеют в целом положительную динамику относительно результатов Рейтинга за 2015 год, что свидетельствует о том, что результаты Рейтинга 2015 года стимулировали </w:t>
      </w:r>
      <w:r w:rsidRPr="00C652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образований к принятию действенных мер, направленных на улучшение инвестиционного климата и развитие конкуренции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74AF" w:rsidRPr="008D6713" w:rsidRDefault="00C074AF" w:rsidP="008D6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71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 всех муниципальных образований сформирована муниципальная нормативная база, регулирующая инвестиционную деятельность и разви</w:t>
      </w:r>
      <w:r w:rsidR="008D671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тие конкуренции,</w:t>
      </w:r>
      <w:r w:rsidRPr="008D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671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D6713" w:rsidRPr="008D67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казывается</w:t>
      </w:r>
      <w:r w:rsidRPr="008D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информационно-консультационная и имущественная поддержка предпринимателей, при этом отмечается высокий уровень эффективности мер муниципальной поддержки при реализации инвестиционных проектов. </w:t>
      </w:r>
      <w:r w:rsidR="008D6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6713" w:rsidRDefault="008D6713" w:rsidP="008D6713">
      <w:pPr>
        <w:pStyle w:val="Default"/>
        <w:ind w:firstLine="708"/>
        <w:jc w:val="both"/>
        <w:rPr>
          <w:rFonts w:eastAsia="Times New Roman"/>
          <w:color w:val="auto"/>
          <w:sz w:val="28"/>
          <w:szCs w:val="28"/>
          <w:lang w:eastAsia="ru-RU"/>
        </w:rPr>
      </w:pPr>
      <w:r w:rsidRPr="008D6713">
        <w:rPr>
          <w:rFonts w:eastAsia="Times New Roman"/>
          <w:color w:val="auto"/>
          <w:sz w:val="28"/>
          <w:szCs w:val="28"/>
          <w:lang w:eastAsia="ru-RU"/>
        </w:rPr>
        <w:t xml:space="preserve">Автономной некоммерческой организацией «Агентство стратегических инициатив по продвижению проектов» разработан сборник успешных практик «Атлас муниципальных практик», направленных на развитие и поддержку малого и среднего предпринимательства на муниципальном уровне. В Атласе представлены 23 успешные муниципальные практики. По результатам Рейтинга 2016 года выявлено, что </w:t>
      </w:r>
      <w:r>
        <w:rPr>
          <w:rFonts w:eastAsia="Times New Roman"/>
          <w:color w:val="auto"/>
          <w:sz w:val="28"/>
          <w:szCs w:val="28"/>
          <w:lang w:eastAsia="ru-RU"/>
        </w:rPr>
        <w:t>в большинстве муниципальных образований</w:t>
      </w:r>
      <w:r w:rsidRPr="008D6713">
        <w:rPr>
          <w:rFonts w:eastAsia="Times New Roman"/>
          <w:color w:val="auto"/>
          <w:sz w:val="28"/>
          <w:szCs w:val="28"/>
          <w:lang w:eastAsia="ru-RU"/>
        </w:rPr>
        <w:t xml:space="preserve"> автономного округа органами местного самоуправления </w:t>
      </w:r>
      <w:r w:rsidR="003F78BF" w:rsidRPr="008D6713">
        <w:rPr>
          <w:rFonts w:eastAsia="Times New Roman"/>
          <w:color w:val="auto"/>
          <w:sz w:val="28"/>
          <w:szCs w:val="28"/>
          <w:lang w:eastAsia="ru-RU"/>
        </w:rPr>
        <w:t>с учетом социально-экономических особенностей развития, потребностей предпринимателей и решения задач улучшения инвестиционной привлекательности каждого муниципального образования</w:t>
      </w:r>
      <w:r w:rsidR="003F78BF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auto"/>
          <w:sz w:val="28"/>
          <w:szCs w:val="28"/>
          <w:lang w:eastAsia="ru-RU"/>
        </w:rPr>
        <w:t>внедрены</w:t>
      </w:r>
      <w:r w:rsidRPr="008D6713">
        <w:rPr>
          <w:rFonts w:eastAsia="Times New Roman"/>
          <w:color w:val="auto"/>
          <w:sz w:val="28"/>
          <w:szCs w:val="28"/>
          <w:lang w:eastAsia="ru-RU"/>
        </w:rPr>
        <w:t xml:space="preserve"> муниципальные практики</w:t>
      </w:r>
      <w:r w:rsidR="003F78BF">
        <w:rPr>
          <w:rFonts w:eastAsia="Times New Roman"/>
          <w:color w:val="auto"/>
          <w:sz w:val="28"/>
          <w:szCs w:val="28"/>
          <w:lang w:eastAsia="ru-RU"/>
        </w:rPr>
        <w:t>.</w:t>
      </w:r>
    </w:p>
    <w:p w:rsidR="00995762" w:rsidRDefault="00995762" w:rsidP="00A854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CB0" w:rsidRPr="006F7CB0" w:rsidRDefault="006F7CB0" w:rsidP="006F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2017 году осуществлялось </w:t>
      </w:r>
      <w:r w:rsidRPr="006F7CB0">
        <w:rPr>
          <w:rFonts w:ascii="Times New Roman" w:hAnsi="Times New Roman" w:cs="Times New Roman"/>
          <w:sz w:val="28"/>
          <w:szCs w:val="28"/>
        </w:rPr>
        <w:t>сопровождение 2 информационн</w:t>
      </w:r>
      <w:r>
        <w:rPr>
          <w:rFonts w:ascii="Times New Roman" w:hAnsi="Times New Roman" w:cs="Times New Roman"/>
          <w:sz w:val="28"/>
          <w:szCs w:val="28"/>
        </w:rPr>
        <w:t>ых систем</w:t>
      </w:r>
      <w:r w:rsidRPr="006F7CB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F7CB0" w:rsidRPr="006F7CB0" w:rsidRDefault="006F7CB0" w:rsidP="006F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sz w:val="28"/>
          <w:szCs w:val="28"/>
        </w:rPr>
        <w:t>1.</w:t>
      </w:r>
      <w:r w:rsidRPr="006F7CB0">
        <w:rPr>
          <w:rFonts w:ascii="Times New Roman" w:hAnsi="Times New Roman" w:cs="Times New Roman"/>
          <w:sz w:val="28"/>
          <w:szCs w:val="28"/>
        </w:rPr>
        <w:tab/>
        <w:t>Информационная система мониторинга и анализа социально-экономического развития Ханты-Мансийского автономного округа – Югры (АИС «Мониторинг Югра»).</w:t>
      </w:r>
    </w:p>
    <w:p w:rsidR="006F7CB0" w:rsidRPr="006F7CB0" w:rsidRDefault="006F7CB0" w:rsidP="006F7CB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B0">
        <w:rPr>
          <w:rFonts w:ascii="Times New Roman" w:hAnsi="Times New Roman" w:cs="Times New Roman"/>
          <w:sz w:val="28"/>
          <w:szCs w:val="28"/>
        </w:rPr>
        <w:t>2.</w:t>
      </w:r>
      <w:r w:rsidRPr="006F7CB0">
        <w:rPr>
          <w:rFonts w:ascii="Times New Roman" w:hAnsi="Times New Roman" w:cs="Times New Roman"/>
          <w:sz w:val="28"/>
          <w:szCs w:val="28"/>
        </w:rPr>
        <w:tab/>
        <w:t>Сайт БУ «Региональный центр инвестиций».</w:t>
      </w:r>
    </w:p>
    <w:p w:rsidR="006F7CB0" w:rsidRDefault="006F7CB0" w:rsidP="00022E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954EF" w:rsidRDefault="004E6AD9" w:rsidP="00F167B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</w:t>
      </w:r>
      <w:r w:rsidR="00621BB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621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БУ «Региональный центр инвестиций» в 201</w:t>
      </w:r>
      <w:r w:rsidR="008B5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году</w:t>
      </w:r>
      <w:r w:rsidR="00621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</w:t>
      </w:r>
      <w:r w:rsidR="00621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="00467527" w:rsidRP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ормировани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67527" w:rsidRP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единого информационного пространства, </w:t>
      </w:r>
      <w:r w:rsid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67527" w:rsidRP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инструментария для ана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литической оценки и визуализация</w:t>
      </w:r>
      <w:r w:rsidR="00467527" w:rsidRP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7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уровня </w:t>
      </w:r>
      <w:r w:rsidR="00167954" w:rsidRP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социально-экономического развития</w:t>
      </w:r>
      <w:r w:rsidR="0016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7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беспечение</w:t>
      </w:r>
      <w:r w:rsidR="00167954" w:rsidRPr="00167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наглядного представления инвестиционных возможностей Югры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 этой целью в</w:t>
      </w:r>
      <w:r w:rsidR="00E655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</w:t>
      </w:r>
      <w:r w:rsidR="008B55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="00E655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осуществляли</w:t>
      </w:r>
      <w:r w:rsidR="00167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</w:t>
      </w:r>
      <w:r w:rsid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техническое </w:t>
      </w:r>
      <w:r w:rsidR="00467527" w:rsidRPr="009710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</w:t>
      </w:r>
      <w:r w:rsid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67527" w:rsidRPr="00971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51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модернизация</w:t>
      </w:r>
      <w:r w:rsidR="0016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954" w:rsidRP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автоматизированных</w:t>
      </w:r>
      <w:r w:rsidR="00167954" w:rsidRPr="00971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527" w:rsidRPr="009710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</w:t>
      </w:r>
      <w:r w:rsidR="00467527" w:rsidRP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таких как АИС «Мониторинг Югра», </w:t>
      </w:r>
      <w:r w:rsid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>ИС БУ «Региональный центр инвестиций» (сайт учреждения)</w:t>
      </w:r>
      <w:r w:rsidR="00467527" w:rsidRP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46F4"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воевременная</w:t>
      </w:r>
      <w:r w:rsidR="00E846F4"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актуализация информации позволяет в режиме</w:t>
      </w:r>
      <w:r w:rsidR="00E846F4" w:rsidRPr="00E84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реального времени отслеживать конъюнктурные изменения экономики Югры. </w:t>
      </w:r>
    </w:p>
    <w:p w:rsidR="004E6AD9" w:rsidRPr="004E6AD9" w:rsidRDefault="004E6AD9" w:rsidP="004E6A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</w:t>
      </w:r>
      <w:r w:rsidR="00C26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ормационная система мониторинга 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 анализа социально-экономического развития автономного округа автоматизированная информационная система «Мониторинг Югра» обеспечивает формирование единого информационного пространства округа, а также предоставляет инструментарий для аналитической оценки и визуализации показателей по основным сферам деятельности региона. АИС «Мониторинг ЮГРА» консолидирует информацию органов государственной власти и местного самоуправления, поступающую в автоматическом режиме от программных комплексов или вводимую БУ «Региональный центр инвестиций». </w:t>
      </w:r>
    </w:p>
    <w:p w:rsidR="004E6AD9" w:rsidRPr="004E6AD9" w:rsidRDefault="004E6AD9" w:rsidP="004E6AD9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отчетного периода проделанная работа позволила создать своевременный оперативный информационный массив для потребителей данных работ (органы государственной власти, ОМСУ, в том числе население). Информация используется при принятии объективных управленческих решений, направленных на социально-экономическое развитие региона, повышение качества жизни населения автономного округа. Пользователи имеют возможность получать актуальную информацию о тарифах ЖКХ, ценах на отдельные виды социально-значимых продовольственных товаров первой необходимости и жизненно необходимых лекарственных средств, ценах на нефтепродукты, основных показателях исполнения бюджета автономного округа.  Своевременное информирование способствует снижению социальной и экономической напряженности, улучшению социально-экономической ситуации в автономном округе.</w:t>
      </w:r>
    </w:p>
    <w:p w:rsidR="004E6AD9" w:rsidRPr="004E6AD9" w:rsidRDefault="004E6AD9" w:rsidP="004E6AD9">
      <w:pPr>
        <w:spacing w:line="25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8B551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оказывалась информационная поддержка субъект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С этой целью на сайте БУ «Региональный центр инвестиций» на постоянной основе размещается необходимая при реализации инвестиционных проектов, ведении бизнеса информация.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Посещаемость сайта БУ «Региональный центр инвестиций» </w:t>
      </w:r>
      <w:r w:rsidR="008B5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2017 год выросла почти на 22 % в сравнении с предыдущим годом, 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свидетельствует о востребованности информационного ресурса. </w:t>
      </w:r>
    </w:p>
    <w:p w:rsidR="004E6AD9" w:rsidRPr="004E6AD9" w:rsidRDefault="004E6AD9" w:rsidP="004E6A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8B551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сайте «БУ «Региональный центр инвестиций» размещено </w:t>
      </w:r>
      <w:r w:rsidR="008B5514">
        <w:rPr>
          <w:rFonts w:ascii="Times New Roman" w:eastAsia="Times New Roman" w:hAnsi="Times New Roman" w:cs="Times New Roman"/>
          <w:sz w:val="28"/>
          <w:szCs w:val="28"/>
          <w:lang w:eastAsia="ru-RU"/>
        </w:rPr>
        <w:t>473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</w:t>
      </w:r>
      <w:r w:rsidR="00C2624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сайте публикуются новости, освещаются мероприятия, проводимые в автономном округе и за его пределами. Регулярно обновляется нормативно-правовая база в сфере инвестиций, информация о возможных инструментах поддержки инвестиционной деятельности. На сайте учреждения размещается информация об инвестиционных проектах, сопровождаемых учреждением, и их презентации, с целью информирования заинтересованных лиц. </w:t>
      </w:r>
    </w:p>
    <w:p w:rsidR="004E6AD9" w:rsidRPr="004E6AD9" w:rsidRDefault="004E6AD9" w:rsidP="004E6A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АИС «Мониторинг Югра», </w:t>
      </w:r>
      <w:r w:rsid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система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позволяют своевременно распространять широкой аудитории и заинтересованным лицам актуальную информацию в сфере социально-экономического развития, инвестиционных возможностей, что помогает снизить риски для бизнеса, позволяет ориентироваться в изменяющихся условиях и способствует повышению инвестиционной привлекательности автономного округа.</w:t>
      </w:r>
    </w:p>
    <w:p w:rsidR="009F4CB8" w:rsidRPr="009F4CB8" w:rsidRDefault="00996A40" w:rsidP="00996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 «Региональный центр инвестиций» </w:t>
      </w:r>
      <w:r w:rsidR="009F4CB8" w:rsidRPr="009F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сформирована система </w:t>
      </w:r>
      <w:r w:rsidR="000A6BE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оперативного взаимодействия</w:t>
      </w:r>
      <w:r w:rsidR="002B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F4CB8" w:rsidRPr="009F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заключены соглашения о сотрудничестве с органами государственной власти автономного округа, с муниципальными образованиями региона, с крупными финансово-кредитными институтами и лизинговыми компаниями. Выстроенная структура взаимодействия позволяет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 </w:t>
      </w:r>
      <w:r w:rsidR="009F4CB8" w:rsidRPr="009F4C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вопросы</w:t>
      </w:r>
      <w:r w:rsid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осуществлять эффективный </w:t>
      </w:r>
      <w:r w:rsidR="000A6BE0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</w:t>
      </w:r>
      <w:r w:rsidR="000A6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анализ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9F4CB8" w:rsidRPr="009F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B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4C76" w:rsidRPr="00296BFC" w:rsidRDefault="00DF1D15" w:rsidP="007F4C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</w:t>
      </w:r>
      <w:r w:rsidR="002D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существования 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 «Региональный центр инвестиций»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наработаны тесные </w:t>
      </w:r>
      <w:r w:rsidR="004D3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контакты с представителями предпринимательской деятельности, банковским сектором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D3B6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государственной власти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способствует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эффективному сотрудничеству и </w:t>
      </w:r>
      <w:r w:rsidR="0036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плодотворному </w:t>
      </w:r>
      <w:r w:rsidR="00853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содействию при реализации </w:t>
      </w:r>
      <w:r w:rsidR="0013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инвестиционных </w:t>
      </w:r>
      <w:r w:rsidR="008538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351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особенностей 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каждого конкретного участника и специфик</w:t>
      </w:r>
      <w:r w:rsidR="0013351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проекта. 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36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сотрудничества 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</w:t>
      </w:r>
      <w:r w:rsidR="00CC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компании 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</w:t>
      </w:r>
      <w:r w:rsidR="00C2624C">
        <w:rPr>
          <w:rFonts w:ascii="Times New Roman" w:eastAsia="Times New Roman" w:hAnsi="Times New Roman" w:cs="Times New Roman"/>
          <w:sz w:val="28"/>
          <w:szCs w:val="28"/>
          <w:lang w:eastAsia="ru-RU"/>
        </w:rPr>
        <w:t>зили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благодарность БУ «Региональный центр инвестиций» за </w:t>
      </w:r>
      <w:r w:rsidR="007F4C76" w:rsidRPr="00296BF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компетентную и оперативную деятельность.</w:t>
      </w:r>
    </w:p>
    <w:p w:rsidR="004E6AD9" w:rsidRDefault="00296BFC" w:rsidP="00996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6BFC">
        <w:rPr>
          <w:rFonts w:ascii="Times New Roman" w:hAnsi="Times New Roman" w:cs="Arial"/>
          <w:sz w:val="28"/>
          <w:shd w:val="clear" w:color="auto" w:fill="FFFFFF"/>
        </w:rPr>
        <w:t xml:space="preserve">На основании распоряжения Правительства ханты-Мансийского автономного округа – Югры от 22 декабря 2017 года №754-рп бюджетное учреждение Ханты-Мансийского автономного округа – Югры «Региональный центр инвестиций» </w:t>
      </w:r>
      <w:r>
        <w:rPr>
          <w:rFonts w:ascii="Times New Roman" w:hAnsi="Times New Roman" w:cs="Arial"/>
          <w:sz w:val="28"/>
          <w:shd w:val="clear" w:color="auto" w:fill="FFFFFF"/>
        </w:rPr>
        <w:t xml:space="preserve">переименовано </w:t>
      </w:r>
      <w:r w:rsidRPr="00296BFC">
        <w:rPr>
          <w:rFonts w:ascii="Times New Roman" w:hAnsi="Times New Roman" w:cs="Arial"/>
          <w:sz w:val="28"/>
          <w:shd w:val="clear" w:color="auto" w:fill="FFFFFF"/>
        </w:rPr>
        <w:t xml:space="preserve">в бюджетное учреждение Ханты-Мансийского автономного округа – Югры «Региональный аналитический центр» (далее – Учреждение). </w:t>
      </w:r>
      <w:r>
        <w:rPr>
          <w:rFonts w:ascii="Times New Roman" w:hAnsi="Times New Roman" w:cs="Arial"/>
          <w:sz w:val="28"/>
          <w:shd w:val="clear" w:color="auto" w:fill="FFFFFF"/>
        </w:rPr>
        <w:t>Ц</w:t>
      </w:r>
      <w:r w:rsidRPr="00296BFC">
        <w:rPr>
          <w:rFonts w:ascii="Times New Roman" w:hAnsi="Times New Roman" w:cs="Arial"/>
          <w:sz w:val="28"/>
          <w:shd w:val="clear" w:color="auto" w:fill="FFFFFF"/>
        </w:rPr>
        <w:t xml:space="preserve">елью деятельности Учреждения является обеспечение реализации предусмотренных законодательством Российской Федерации полномочий органов государственной власти Ханты-Мансийского автономного округа – Югры в сфере комплексного анализа, прогнозирования, информационно-аналитического мониторинга социально-экономического развития Ханты-Мансийского автономного округа – Югры. </w:t>
      </w:r>
      <w:r w:rsidR="003D17B9" w:rsidRPr="00296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деятельность </w:t>
      </w:r>
      <w:r w:rsidR="002E43DC" w:rsidRPr="00296BFC"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="003D17B9" w:rsidRPr="00296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E62" w:rsidRPr="00296BF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направлена</w:t>
      </w:r>
      <w:r w:rsidR="003D17B9" w:rsidRPr="00296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экспертно-аналитическое обеспечение 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D6CCF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еятельности органов власти Югры</w:t>
      </w:r>
      <w:r w:rsidR="00C2624C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расширил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спектр задач. </w:t>
      </w:r>
      <w:r w:rsid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3D17B9" w:rsidRDefault="0077131F" w:rsidP="00996A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базе учреждения предполагается 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единую «экспертную площадку», основными стратегическими задачами которо</w:t>
      </w:r>
      <w:r w:rsidR="00C2624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624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станут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3E62" w:rsidRPr="0077131F" w:rsidRDefault="0077131F" w:rsidP="00003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1.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Создание альтернативного центра ведения </w:t>
      </w: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статистического наблюдения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мониторинг социально-экономических показателей, необходимых для совершенствования системы управления и реализации плановых программных показателей, связанных с наблюдением состояния объекта управления, прогнозированием развития ситуации на основе анализа поступающей информации, моделирование</w:t>
      </w:r>
      <w:r w:rsidR="00C2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последствий управленческих решений на базе информационно-аналитических систем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3E62" w:rsidRPr="0077131F" w:rsidRDefault="0077131F" w:rsidP="00003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2.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Формирование единой экспертной площадки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позволяющей оперативно корректировать управленческие решения, направленные на точность прогнозных оценок и эффективность экономической политики региона, мониторинг действующего законодательства в сфере социально-экономического развития, совершенствование правового поля и формирование благоприятных условий для развития экономики автономного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3E62" w:rsidRPr="0077131F" w:rsidRDefault="0077131F" w:rsidP="00003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3.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Создание «ситуационного центра» (центра обработки данных)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обеспечение информационной поддержки управленческой деятельности в условиях динамично развивающейся экономической среды, основным </w:t>
      </w:r>
      <w:r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предназначением которого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разработка, оперативный анализ и </w:t>
      </w:r>
      <w:r w:rsidR="00C2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мер, направленных на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</w:t>
      </w:r>
      <w:r w:rsidR="00C2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объективности единого государственного подхода к решению социально-экономических </w:t>
      </w:r>
      <w:r w:rsidR="00C2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проблем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2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их экспертной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оценк</w:t>
      </w:r>
      <w:r w:rsidR="00C2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и, оптимизации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управлени</w:t>
      </w:r>
      <w:r w:rsidR="00C2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кризисной ситуации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3E62" w:rsidRPr="0077131F" w:rsidRDefault="0077131F" w:rsidP="00003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4.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Формирование центра проведения рейтинговых исследований и экспертных оценок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C262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 сбор, обработка и анализ данных о рынках, конкурентах, потребителях, </w:t>
      </w:r>
      <w:r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ценах, внутреннем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потенциале отраслей экономики в целях уменьшения неопределенности, сопутствующей принятию своевременных объективных управленческих решений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3E62" w:rsidRDefault="0077131F" w:rsidP="00003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5.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Аналитическое обеспечение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деятельности органов государственной власти, органов местного самоуправления автономного округа по информационному сопровождению управленческой деятельности, направленной на развитие экономики и выработку оптимальных решений и подходов к регулированию экономической отраслью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6C67" w:rsidRPr="0077131F" w:rsidRDefault="00226C67" w:rsidP="00003E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6C67" w:rsidRPr="0077131F" w:rsidSect="003E75B0">
      <w:headerReference w:type="default" r:id="rId8"/>
      <w:pgSz w:w="11906" w:h="16838"/>
      <w:pgMar w:top="993" w:right="851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24C" w:rsidRDefault="00C2624C" w:rsidP="003E75B0">
      <w:pPr>
        <w:spacing w:after="0" w:line="240" w:lineRule="auto"/>
      </w:pPr>
      <w:r>
        <w:separator/>
      </w:r>
    </w:p>
  </w:endnote>
  <w:endnote w:type="continuationSeparator" w:id="0">
    <w:p w:rsidR="00C2624C" w:rsidRDefault="00C2624C" w:rsidP="003E7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24C" w:rsidRDefault="00C2624C" w:rsidP="003E75B0">
      <w:pPr>
        <w:spacing w:after="0" w:line="240" w:lineRule="auto"/>
      </w:pPr>
      <w:r>
        <w:separator/>
      </w:r>
    </w:p>
  </w:footnote>
  <w:footnote w:type="continuationSeparator" w:id="0">
    <w:p w:rsidR="00C2624C" w:rsidRDefault="00C2624C" w:rsidP="003E7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8730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2624C" w:rsidRPr="00102591" w:rsidRDefault="00C2624C">
        <w:pPr>
          <w:pStyle w:val="ab"/>
          <w:jc w:val="center"/>
          <w:rPr>
            <w:rFonts w:ascii="Times New Roman" w:hAnsi="Times New Roman" w:cs="Times New Roman"/>
          </w:rPr>
        </w:pPr>
        <w:r w:rsidRPr="00102591">
          <w:rPr>
            <w:rFonts w:ascii="Times New Roman" w:hAnsi="Times New Roman" w:cs="Times New Roman"/>
          </w:rPr>
          <w:fldChar w:fldCharType="begin"/>
        </w:r>
        <w:r w:rsidRPr="00102591">
          <w:rPr>
            <w:rFonts w:ascii="Times New Roman" w:hAnsi="Times New Roman" w:cs="Times New Roman"/>
          </w:rPr>
          <w:instrText>PAGE   \* MERGEFORMAT</w:instrText>
        </w:r>
        <w:r w:rsidRPr="00102591">
          <w:rPr>
            <w:rFonts w:ascii="Times New Roman" w:hAnsi="Times New Roman" w:cs="Times New Roman"/>
          </w:rPr>
          <w:fldChar w:fldCharType="separate"/>
        </w:r>
        <w:r w:rsidR="00B87AB1">
          <w:rPr>
            <w:rFonts w:ascii="Times New Roman" w:hAnsi="Times New Roman" w:cs="Times New Roman"/>
            <w:noProof/>
          </w:rPr>
          <w:t>5</w:t>
        </w:r>
        <w:r w:rsidRPr="00102591">
          <w:rPr>
            <w:rFonts w:ascii="Times New Roman" w:hAnsi="Times New Roman" w:cs="Times New Roman"/>
          </w:rPr>
          <w:fldChar w:fldCharType="end"/>
        </w:r>
      </w:p>
    </w:sdtContent>
  </w:sdt>
  <w:p w:rsidR="00C2624C" w:rsidRDefault="00C2624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11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76FEB"/>
    <w:multiLevelType w:val="hybridMultilevel"/>
    <w:tmpl w:val="FBE66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81F18"/>
    <w:multiLevelType w:val="hybridMultilevel"/>
    <w:tmpl w:val="05ACD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574B4"/>
    <w:multiLevelType w:val="hybridMultilevel"/>
    <w:tmpl w:val="C3426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408D3"/>
    <w:multiLevelType w:val="hybridMultilevel"/>
    <w:tmpl w:val="B9CEA0DA"/>
    <w:lvl w:ilvl="0" w:tplc="F91C6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0A653C4"/>
    <w:multiLevelType w:val="multilevel"/>
    <w:tmpl w:val="5BA4161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5B04270"/>
    <w:multiLevelType w:val="hybridMultilevel"/>
    <w:tmpl w:val="E4EE2E08"/>
    <w:lvl w:ilvl="0" w:tplc="4B50D1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78E69B8"/>
    <w:multiLevelType w:val="hybridMultilevel"/>
    <w:tmpl w:val="0938E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26C59"/>
    <w:multiLevelType w:val="multilevel"/>
    <w:tmpl w:val="5688FE7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4.%2."/>
      <w:lvlJc w:val="left"/>
      <w:pPr>
        <w:ind w:left="144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1E265A2C"/>
    <w:multiLevelType w:val="multilevel"/>
    <w:tmpl w:val="01961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640577"/>
    <w:multiLevelType w:val="hybridMultilevel"/>
    <w:tmpl w:val="BD68E924"/>
    <w:lvl w:ilvl="0" w:tplc="00761C66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0D70004"/>
    <w:multiLevelType w:val="hybridMultilevel"/>
    <w:tmpl w:val="1AF20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9177B"/>
    <w:multiLevelType w:val="multilevel"/>
    <w:tmpl w:val="DAFEE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76032F"/>
    <w:multiLevelType w:val="hybridMultilevel"/>
    <w:tmpl w:val="3432B75E"/>
    <w:lvl w:ilvl="0" w:tplc="B554D1B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403043A"/>
    <w:multiLevelType w:val="hybridMultilevel"/>
    <w:tmpl w:val="B1744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533AD0"/>
    <w:multiLevelType w:val="hybridMultilevel"/>
    <w:tmpl w:val="20801332"/>
    <w:lvl w:ilvl="0" w:tplc="CFAEE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546D9"/>
    <w:multiLevelType w:val="hybridMultilevel"/>
    <w:tmpl w:val="9ECA1BC8"/>
    <w:lvl w:ilvl="0" w:tplc="933E54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1B871BF"/>
    <w:multiLevelType w:val="hybridMultilevel"/>
    <w:tmpl w:val="BD726A8A"/>
    <w:lvl w:ilvl="0" w:tplc="380EDB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3DE70AE"/>
    <w:multiLevelType w:val="hybridMultilevel"/>
    <w:tmpl w:val="079669AE"/>
    <w:lvl w:ilvl="0" w:tplc="052E33D2">
      <w:start w:val="1"/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C5665"/>
    <w:multiLevelType w:val="hybridMultilevel"/>
    <w:tmpl w:val="A154AA74"/>
    <w:lvl w:ilvl="0" w:tplc="B56091A8">
      <w:start w:val="1"/>
      <w:numFmt w:val="decimal"/>
      <w:lvlText w:val="%1."/>
      <w:lvlJc w:val="left"/>
      <w:pPr>
        <w:ind w:left="750" w:hanging="39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7A575F"/>
    <w:multiLevelType w:val="hybridMultilevel"/>
    <w:tmpl w:val="92B6CA14"/>
    <w:lvl w:ilvl="0" w:tplc="092887A6">
      <w:start w:val="1"/>
      <w:numFmt w:val="upperRoman"/>
      <w:lvlText w:val="%1."/>
      <w:lvlJc w:val="left"/>
      <w:pPr>
        <w:ind w:left="126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66DA148E"/>
    <w:multiLevelType w:val="hybridMultilevel"/>
    <w:tmpl w:val="78BEB648"/>
    <w:lvl w:ilvl="0" w:tplc="9EB4D9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3C8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FEA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EA02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7683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C8AD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0EDF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44A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92FB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EAA4589"/>
    <w:multiLevelType w:val="multilevel"/>
    <w:tmpl w:val="A3AA18AC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0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73C6366A"/>
    <w:multiLevelType w:val="hybridMultilevel"/>
    <w:tmpl w:val="9DF69050"/>
    <w:lvl w:ilvl="0" w:tplc="C0A0455E">
      <w:start w:val="1"/>
      <w:numFmt w:val="decimal"/>
      <w:lvlText w:val="%1."/>
      <w:lvlJc w:val="left"/>
      <w:pPr>
        <w:tabs>
          <w:tab w:val="num" w:pos="360"/>
        </w:tabs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6DF0BF5"/>
    <w:multiLevelType w:val="hybridMultilevel"/>
    <w:tmpl w:val="37727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AF7123"/>
    <w:multiLevelType w:val="hybridMultilevel"/>
    <w:tmpl w:val="9806857E"/>
    <w:lvl w:ilvl="0" w:tplc="33EC69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0D0CBE"/>
    <w:multiLevelType w:val="hybridMultilevel"/>
    <w:tmpl w:val="74B0F814"/>
    <w:lvl w:ilvl="0" w:tplc="8592BD2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A487356"/>
    <w:multiLevelType w:val="hybridMultilevel"/>
    <w:tmpl w:val="8F9E3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AD15EF"/>
    <w:multiLevelType w:val="multilevel"/>
    <w:tmpl w:val="0FBC09F6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3.%2."/>
      <w:lvlJc w:val="left"/>
      <w:pPr>
        <w:ind w:left="1440" w:hanging="72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18"/>
  </w:num>
  <w:num w:numId="3">
    <w:abstractNumId w:val="0"/>
  </w:num>
  <w:num w:numId="4">
    <w:abstractNumId w:val="6"/>
  </w:num>
  <w:num w:numId="5">
    <w:abstractNumId w:val="11"/>
  </w:num>
  <w:num w:numId="6">
    <w:abstractNumId w:val="7"/>
  </w:num>
  <w:num w:numId="7">
    <w:abstractNumId w:val="14"/>
  </w:num>
  <w:num w:numId="8">
    <w:abstractNumId w:val="12"/>
  </w:num>
  <w:num w:numId="9">
    <w:abstractNumId w:val="9"/>
  </w:num>
  <w:num w:numId="10">
    <w:abstractNumId w:val="23"/>
  </w:num>
  <w:num w:numId="11">
    <w:abstractNumId w:val="25"/>
  </w:num>
  <w:num w:numId="12">
    <w:abstractNumId w:val="5"/>
  </w:num>
  <w:num w:numId="13">
    <w:abstractNumId w:val="24"/>
  </w:num>
  <w:num w:numId="14">
    <w:abstractNumId w:val="2"/>
  </w:num>
  <w:num w:numId="15">
    <w:abstractNumId w:val="26"/>
  </w:num>
  <w:num w:numId="16">
    <w:abstractNumId w:val="28"/>
  </w:num>
  <w:num w:numId="17">
    <w:abstractNumId w:val="22"/>
  </w:num>
  <w:num w:numId="18">
    <w:abstractNumId w:val="4"/>
  </w:num>
  <w:num w:numId="19">
    <w:abstractNumId w:val="17"/>
  </w:num>
  <w:num w:numId="20">
    <w:abstractNumId w:val="16"/>
  </w:num>
  <w:num w:numId="21">
    <w:abstractNumId w:val="10"/>
  </w:num>
  <w:num w:numId="22">
    <w:abstractNumId w:val="8"/>
  </w:num>
  <w:num w:numId="23">
    <w:abstractNumId w:val="1"/>
  </w:num>
  <w:num w:numId="24">
    <w:abstractNumId w:val="27"/>
  </w:num>
  <w:num w:numId="25">
    <w:abstractNumId w:val="20"/>
  </w:num>
  <w:num w:numId="26">
    <w:abstractNumId w:val="13"/>
  </w:num>
  <w:num w:numId="27">
    <w:abstractNumId w:val="19"/>
  </w:num>
  <w:num w:numId="28">
    <w:abstractNumId w:val="2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17B9"/>
    <w:rsid w:val="00003E62"/>
    <w:rsid w:val="00022E9B"/>
    <w:rsid w:val="000400EB"/>
    <w:rsid w:val="000414C1"/>
    <w:rsid w:val="00052C5D"/>
    <w:rsid w:val="00064862"/>
    <w:rsid w:val="000754BC"/>
    <w:rsid w:val="000772A4"/>
    <w:rsid w:val="0009374D"/>
    <w:rsid w:val="00097476"/>
    <w:rsid w:val="000A6BE0"/>
    <w:rsid w:val="000A6E48"/>
    <w:rsid w:val="000B3648"/>
    <w:rsid w:val="000E032A"/>
    <w:rsid w:val="000E3572"/>
    <w:rsid w:val="000E3917"/>
    <w:rsid w:val="000E7238"/>
    <w:rsid w:val="000F76F3"/>
    <w:rsid w:val="00102591"/>
    <w:rsid w:val="001049EE"/>
    <w:rsid w:val="00121524"/>
    <w:rsid w:val="00127497"/>
    <w:rsid w:val="0013351D"/>
    <w:rsid w:val="0013405B"/>
    <w:rsid w:val="001469A8"/>
    <w:rsid w:val="00153934"/>
    <w:rsid w:val="00156F75"/>
    <w:rsid w:val="00167954"/>
    <w:rsid w:val="00185135"/>
    <w:rsid w:val="0018532D"/>
    <w:rsid w:val="00197C45"/>
    <w:rsid w:val="001A0C41"/>
    <w:rsid w:val="001B6913"/>
    <w:rsid w:val="001B7C58"/>
    <w:rsid w:val="001C274C"/>
    <w:rsid w:val="001C6CB7"/>
    <w:rsid w:val="001E13A4"/>
    <w:rsid w:val="001E4A0B"/>
    <w:rsid w:val="001F0EA1"/>
    <w:rsid w:val="001F1C64"/>
    <w:rsid w:val="001F2158"/>
    <w:rsid w:val="0020061E"/>
    <w:rsid w:val="00203D88"/>
    <w:rsid w:val="00204048"/>
    <w:rsid w:val="0021541D"/>
    <w:rsid w:val="00215EE1"/>
    <w:rsid w:val="00226C67"/>
    <w:rsid w:val="0023559F"/>
    <w:rsid w:val="00257153"/>
    <w:rsid w:val="00262215"/>
    <w:rsid w:val="0026570A"/>
    <w:rsid w:val="0027500E"/>
    <w:rsid w:val="002810EB"/>
    <w:rsid w:val="0029284E"/>
    <w:rsid w:val="00296BFC"/>
    <w:rsid w:val="002A18E2"/>
    <w:rsid w:val="002A458D"/>
    <w:rsid w:val="002B0309"/>
    <w:rsid w:val="002B041D"/>
    <w:rsid w:val="002B144E"/>
    <w:rsid w:val="002B1F4A"/>
    <w:rsid w:val="002B5E9E"/>
    <w:rsid w:val="002D7BD9"/>
    <w:rsid w:val="002D7E7C"/>
    <w:rsid w:val="002E43DC"/>
    <w:rsid w:val="002E5BFB"/>
    <w:rsid w:val="002F54BE"/>
    <w:rsid w:val="00311BAE"/>
    <w:rsid w:val="00313433"/>
    <w:rsid w:val="003245D6"/>
    <w:rsid w:val="0033128E"/>
    <w:rsid w:val="00343790"/>
    <w:rsid w:val="00343DF1"/>
    <w:rsid w:val="00366A35"/>
    <w:rsid w:val="00391A83"/>
    <w:rsid w:val="00393D86"/>
    <w:rsid w:val="003A3DD6"/>
    <w:rsid w:val="003A5E5D"/>
    <w:rsid w:val="003B3807"/>
    <w:rsid w:val="003C1C2D"/>
    <w:rsid w:val="003D17B9"/>
    <w:rsid w:val="003D5ECC"/>
    <w:rsid w:val="003D782C"/>
    <w:rsid w:val="003D7D30"/>
    <w:rsid w:val="003E75B0"/>
    <w:rsid w:val="003F642E"/>
    <w:rsid w:val="003F78BF"/>
    <w:rsid w:val="00404398"/>
    <w:rsid w:val="004071AA"/>
    <w:rsid w:val="00423504"/>
    <w:rsid w:val="00423EE2"/>
    <w:rsid w:val="004301BB"/>
    <w:rsid w:val="00465275"/>
    <w:rsid w:val="00467527"/>
    <w:rsid w:val="00470C13"/>
    <w:rsid w:val="00486FA4"/>
    <w:rsid w:val="004A4766"/>
    <w:rsid w:val="004B11CF"/>
    <w:rsid w:val="004B3998"/>
    <w:rsid w:val="004D3B62"/>
    <w:rsid w:val="004E12C8"/>
    <w:rsid w:val="004E6AD9"/>
    <w:rsid w:val="004E6C44"/>
    <w:rsid w:val="004E7AF9"/>
    <w:rsid w:val="004F50C7"/>
    <w:rsid w:val="004F5E76"/>
    <w:rsid w:val="004F68C9"/>
    <w:rsid w:val="004F7B0B"/>
    <w:rsid w:val="00511A89"/>
    <w:rsid w:val="005120C4"/>
    <w:rsid w:val="00537D95"/>
    <w:rsid w:val="00547A1F"/>
    <w:rsid w:val="00551883"/>
    <w:rsid w:val="005525E1"/>
    <w:rsid w:val="00566D52"/>
    <w:rsid w:val="00570BED"/>
    <w:rsid w:val="00574515"/>
    <w:rsid w:val="00596254"/>
    <w:rsid w:val="00597F6E"/>
    <w:rsid w:val="005A5C7B"/>
    <w:rsid w:val="005C4CD5"/>
    <w:rsid w:val="005D29BE"/>
    <w:rsid w:val="005D42E6"/>
    <w:rsid w:val="005E2D20"/>
    <w:rsid w:val="005E34A9"/>
    <w:rsid w:val="0061447C"/>
    <w:rsid w:val="00621BB1"/>
    <w:rsid w:val="00623F7F"/>
    <w:rsid w:val="006242B9"/>
    <w:rsid w:val="0064300C"/>
    <w:rsid w:val="0066188F"/>
    <w:rsid w:val="006709EF"/>
    <w:rsid w:val="006914F6"/>
    <w:rsid w:val="00697367"/>
    <w:rsid w:val="006A1625"/>
    <w:rsid w:val="006A4626"/>
    <w:rsid w:val="006B4C91"/>
    <w:rsid w:val="006B7904"/>
    <w:rsid w:val="006C383A"/>
    <w:rsid w:val="006F0D7C"/>
    <w:rsid w:val="006F3758"/>
    <w:rsid w:val="006F7CB0"/>
    <w:rsid w:val="007047A5"/>
    <w:rsid w:val="007429C0"/>
    <w:rsid w:val="007431E8"/>
    <w:rsid w:val="00744F63"/>
    <w:rsid w:val="00760C77"/>
    <w:rsid w:val="0076173B"/>
    <w:rsid w:val="00767808"/>
    <w:rsid w:val="007678BC"/>
    <w:rsid w:val="0077131F"/>
    <w:rsid w:val="007831F4"/>
    <w:rsid w:val="00791A31"/>
    <w:rsid w:val="00794B5C"/>
    <w:rsid w:val="007A1D8B"/>
    <w:rsid w:val="007B0256"/>
    <w:rsid w:val="007B05A1"/>
    <w:rsid w:val="007D6CCF"/>
    <w:rsid w:val="007F4C76"/>
    <w:rsid w:val="007F5988"/>
    <w:rsid w:val="007F5CC3"/>
    <w:rsid w:val="0080508A"/>
    <w:rsid w:val="00811776"/>
    <w:rsid w:val="0082017A"/>
    <w:rsid w:val="008211B6"/>
    <w:rsid w:val="00825D7D"/>
    <w:rsid w:val="008277E0"/>
    <w:rsid w:val="0083110F"/>
    <w:rsid w:val="00831154"/>
    <w:rsid w:val="008316E8"/>
    <w:rsid w:val="008345A8"/>
    <w:rsid w:val="00835181"/>
    <w:rsid w:val="00842B89"/>
    <w:rsid w:val="00844F14"/>
    <w:rsid w:val="00853898"/>
    <w:rsid w:val="00855D5A"/>
    <w:rsid w:val="00874C44"/>
    <w:rsid w:val="00885ED8"/>
    <w:rsid w:val="00886381"/>
    <w:rsid w:val="0089277C"/>
    <w:rsid w:val="00896E7F"/>
    <w:rsid w:val="008A6249"/>
    <w:rsid w:val="008B5514"/>
    <w:rsid w:val="008B67E4"/>
    <w:rsid w:val="008C3E8E"/>
    <w:rsid w:val="008C4919"/>
    <w:rsid w:val="008C52AB"/>
    <w:rsid w:val="008D6713"/>
    <w:rsid w:val="00910ABD"/>
    <w:rsid w:val="00910FF5"/>
    <w:rsid w:val="00956041"/>
    <w:rsid w:val="009710BF"/>
    <w:rsid w:val="00994568"/>
    <w:rsid w:val="009954EF"/>
    <w:rsid w:val="00995762"/>
    <w:rsid w:val="00996116"/>
    <w:rsid w:val="00996A40"/>
    <w:rsid w:val="009C0D99"/>
    <w:rsid w:val="009D5092"/>
    <w:rsid w:val="009D628E"/>
    <w:rsid w:val="009D7A51"/>
    <w:rsid w:val="009E1D9E"/>
    <w:rsid w:val="009F2885"/>
    <w:rsid w:val="009F4CB8"/>
    <w:rsid w:val="009F5D3C"/>
    <w:rsid w:val="00A26420"/>
    <w:rsid w:val="00A265D2"/>
    <w:rsid w:val="00A30CAF"/>
    <w:rsid w:val="00A40570"/>
    <w:rsid w:val="00A77081"/>
    <w:rsid w:val="00A77625"/>
    <w:rsid w:val="00A84BEE"/>
    <w:rsid w:val="00A85413"/>
    <w:rsid w:val="00A85B61"/>
    <w:rsid w:val="00A861BC"/>
    <w:rsid w:val="00AA38E6"/>
    <w:rsid w:val="00AA791E"/>
    <w:rsid w:val="00AB123A"/>
    <w:rsid w:val="00AB5EEA"/>
    <w:rsid w:val="00AB7FD9"/>
    <w:rsid w:val="00AC32B9"/>
    <w:rsid w:val="00AC5D45"/>
    <w:rsid w:val="00AC7A9B"/>
    <w:rsid w:val="00AD51E0"/>
    <w:rsid w:val="00AE232B"/>
    <w:rsid w:val="00AE23AA"/>
    <w:rsid w:val="00B1085E"/>
    <w:rsid w:val="00B128AD"/>
    <w:rsid w:val="00B177FB"/>
    <w:rsid w:val="00B2054A"/>
    <w:rsid w:val="00B24C97"/>
    <w:rsid w:val="00B37B00"/>
    <w:rsid w:val="00B41CED"/>
    <w:rsid w:val="00B4257C"/>
    <w:rsid w:val="00B52F91"/>
    <w:rsid w:val="00B55E32"/>
    <w:rsid w:val="00B6743D"/>
    <w:rsid w:val="00B73005"/>
    <w:rsid w:val="00B87AB1"/>
    <w:rsid w:val="00BA6DE0"/>
    <w:rsid w:val="00BB3642"/>
    <w:rsid w:val="00BB582E"/>
    <w:rsid w:val="00BC3C17"/>
    <w:rsid w:val="00BC6E8F"/>
    <w:rsid w:val="00BC7297"/>
    <w:rsid w:val="00BE3831"/>
    <w:rsid w:val="00BE3B5E"/>
    <w:rsid w:val="00BE481D"/>
    <w:rsid w:val="00BE7BF2"/>
    <w:rsid w:val="00BF3082"/>
    <w:rsid w:val="00C01DF1"/>
    <w:rsid w:val="00C03147"/>
    <w:rsid w:val="00C07437"/>
    <w:rsid w:val="00C074AF"/>
    <w:rsid w:val="00C104A6"/>
    <w:rsid w:val="00C11248"/>
    <w:rsid w:val="00C135EB"/>
    <w:rsid w:val="00C137BD"/>
    <w:rsid w:val="00C2244E"/>
    <w:rsid w:val="00C2624C"/>
    <w:rsid w:val="00C50277"/>
    <w:rsid w:val="00C5194F"/>
    <w:rsid w:val="00C60995"/>
    <w:rsid w:val="00C65209"/>
    <w:rsid w:val="00C81845"/>
    <w:rsid w:val="00C9419C"/>
    <w:rsid w:val="00CA7807"/>
    <w:rsid w:val="00CB1E31"/>
    <w:rsid w:val="00CC0BA7"/>
    <w:rsid w:val="00CC5E9C"/>
    <w:rsid w:val="00CD77FD"/>
    <w:rsid w:val="00CF2CD0"/>
    <w:rsid w:val="00D12F06"/>
    <w:rsid w:val="00D334E8"/>
    <w:rsid w:val="00D41D9C"/>
    <w:rsid w:val="00D43FFD"/>
    <w:rsid w:val="00D45B9A"/>
    <w:rsid w:val="00D50C08"/>
    <w:rsid w:val="00D55365"/>
    <w:rsid w:val="00D6395E"/>
    <w:rsid w:val="00D64FB9"/>
    <w:rsid w:val="00D66E5D"/>
    <w:rsid w:val="00D73DEA"/>
    <w:rsid w:val="00DA6061"/>
    <w:rsid w:val="00DB689C"/>
    <w:rsid w:val="00DC7618"/>
    <w:rsid w:val="00DF1D15"/>
    <w:rsid w:val="00E01561"/>
    <w:rsid w:val="00E07E98"/>
    <w:rsid w:val="00E173CB"/>
    <w:rsid w:val="00E25126"/>
    <w:rsid w:val="00E2706D"/>
    <w:rsid w:val="00E33CF8"/>
    <w:rsid w:val="00E3499E"/>
    <w:rsid w:val="00E35385"/>
    <w:rsid w:val="00E616BE"/>
    <w:rsid w:val="00E65513"/>
    <w:rsid w:val="00E70EC9"/>
    <w:rsid w:val="00E846F4"/>
    <w:rsid w:val="00E900B1"/>
    <w:rsid w:val="00E91B05"/>
    <w:rsid w:val="00EA4E3B"/>
    <w:rsid w:val="00EC45A2"/>
    <w:rsid w:val="00ED4B10"/>
    <w:rsid w:val="00ED4BD4"/>
    <w:rsid w:val="00EE56FA"/>
    <w:rsid w:val="00F06CF8"/>
    <w:rsid w:val="00F07702"/>
    <w:rsid w:val="00F07769"/>
    <w:rsid w:val="00F167BD"/>
    <w:rsid w:val="00F24D4D"/>
    <w:rsid w:val="00F41A51"/>
    <w:rsid w:val="00F45491"/>
    <w:rsid w:val="00F47CF2"/>
    <w:rsid w:val="00F54BB3"/>
    <w:rsid w:val="00F56747"/>
    <w:rsid w:val="00F6317F"/>
    <w:rsid w:val="00F76E83"/>
    <w:rsid w:val="00F90FF1"/>
    <w:rsid w:val="00FA0478"/>
    <w:rsid w:val="00FC06FE"/>
    <w:rsid w:val="00FD4854"/>
    <w:rsid w:val="00FE17C9"/>
    <w:rsid w:val="00FE4A60"/>
    <w:rsid w:val="00FF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B78E8-66A8-4D6A-8766-22E2CBCF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116"/>
  </w:style>
  <w:style w:type="paragraph" w:styleId="3">
    <w:name w:val="heading 3"/>
    <w:basedOn w:val="a"/>
    <w:link w:val="30"/>
    <w:uiPriority w:val="9"/>
    <w:qFormat/>
    <w:rsid w:val="003D17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1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17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D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CF8"/>
    <w:pPr>
      <w:ind w:left="720"/>
      <w:contextualSpacing/>
    </w:pPr>
  </w:style>
  <w:style w:type="character" w:customStyle="1" w:styleId="FontStyle42">
    <w:name w:val="Font Style42"/>
    <w:basedOn w:val="a0"/>
    <w:uiPriority w:val="99"/>
    <w:rsid w:val="00F6317F"/>
    <w:rPr>
      <w:rFonts w:ascii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F63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F631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E5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26C67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226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26C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226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226C67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3E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75B0"/>
  </w:style>
  <w:style w:type="paragraph" w:styleId="ad">
    <w:name w:val="footer"/>
    <w:basedOn w:val="a"/>
    <w:link w:val="ae"/>
    <w:uiPriority w:val="99"/>
    <w:unhideWhenUsed/>
    <w:rsid w:val="003E75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75B0"/>
  </w:style>
  <w:style w:type="character" w:styleId="af">
    <w:name w:val="Strong"/>
    <w:basedOn w:val="a0"/>
    <w:uiPriority w:val="22"/>
    <w:qFormat/>
    <w:rsid w:val="00ED4B10"/>
    <w:rPr>
      <w:b/>
      <w:bCs/>
    </w:rPr>
  </w:style>
  <w:style w:type="paragraph" w:customStyle="1" w:styleId="Default">
    <w:name w:val="Default"/>
    <w:rsid w:val="008D671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5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9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03DE8-711C-475C-BE43-85773AF8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3995</Words>
  <Characters>22777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В.И.</dc:creator>
  <cp:lastModifiedBy>Шестакова А.Б.</cp:lastModifiedBy>
  <cp:revision>5</cp:revision>
  <cp:lastPrinted>2018-08-30T04:28:00Z</cp:lastPrinted>
  <dcterms:created xsi:type="dcterms:W3CDTF">2018-08-29T11:00:00Z</dcterms:created>
  <dcterms:modified xsi:type="dcterms:W3CDTF">2018-08-30T05:22:00Z</dcterms:modified>
</cp:coreProperties>
</file>